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FE2" w:rsidRDefault="00810FE2" w:rsidP="003D0CBB">
      <w:pPr>
        <w:spacing w:line="240" w:lineRule="auto"/>
        <w:rPr>
          <w:rFonts w:ascii="Times New Roman" w:hAnsi="Times New Roman" w:cs="Times New Roman"/>
          <w:sz w:val="24"/>
          <w:szCs w:val="24"/>
        </w:rPr>
      </w:pPr>
      <w:r>
        <w:rPr>
          <w:rFonts w:ascii="Times New Roman" w:hAnsi="Times New Roman" w:cs="Times New Roman"/>
          <w:sz w:val="24"/>
          <w:szCs w:val="24"/>
        </w:rPr>
        <w:t xml:space="preserve">Aparna Mathur: Response to Questions Submitted by The </w:t>
      </w:r>
      <w:r w:rsidR="00CD7E29">
        <w:rPr>
          <w:rFonts w:ascii="Times New Roman" w:hAnsi="Times New Roman" w:cs="Times New Roman"/>
          <w:sz w:val="24"/>
          <w:szCs w:val="24"/>
        </w:rPr>
        <w:t>Senate Committee on The Judiciary based on the hearing titled “Medical Debt: Can Bankruptcy Reform Facilitate a Fresh Start?” on October 20, 2009</w:t>
      </w:r>
    </w:p>
    <w:p w:rsidR="00810FE2" w:rsidRDefault="00810FE2" w:rsidP="003D0CBB">
      <w:pPr>
        <w:spacing w:line="240" w:lineRule="auto"/>
        <w:rPr>
          <w:rFonts w:ascii="Times New Roman" w:hAnsi="Times New Roman" w:cs="Times New Roman"/>
          <w:sz w:val="24"/>
          <w:szCs w:val="24"/>
        </w:rPr>
      </w:pPr>
    </w:p>
    <w:p w:rsidR="00A339C3" w:rsidRPr="003D0CBB" w:rsidRDefault="00810FE2" w:rsidP="003D0CBB">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Response to Questions 1a and 1b.</w:t>
      </w:r>
      <w:proofErr w:type="gramEnd"/>
    </w:p>
    <w:p w:rsidR="00DD7F7E" w:rsidRPr="003D0CBB" w:rsidRDefault="00DD7F7E" w:rsidP="003D0CBB">
      <w:pPr>
        <w:spacing w:line="240" w:lineRule="auto"/>
        <w:rPr>
          <w:rFonts w:ascii="Times New Roman" w:hAnsi="Times New Roman" w:cs="Times New Roman"/>
          <w:sz w:val="24"/>
          <w:szCs w:val="24"/>
        </w:rPr>
      </w:pPr>
      <w:r w:rsidRPr="003D0CBB">
        <w:rPr>
          <w:rFonts w:ascii="Times New Roman" w:hAnsi="Times New Roman" w:cs="Times New Roman"/>
          <w:sz w:val="24"/>
          <w:szCs w:val="24"/>
        </w:rPr>
        <w:tab/>
      </w:r>
      <w:r w:rsidR="00AE4D03" w:rsidRPr="003D0CBB">
        <w:rPr>
          <w:rFonts w:ascii="Times New Roman" w:hAnsi="Times New Roman" w:cs="Times New Roman"/>
          <w:sz w:val="24"/>
          <w:szCs w:val="24"/>
        </w:rPr>
        <w:t xml:space="preserve">The study cited in by Mrs. Edwards clearly suffers from several biases, the least of which is the small sample size of 128 people that is somehow supposed to be representative of a population of more than 300 million. </w:t>
      </w:r>
      <w:r w:rsidR="003D0CBB" w:rsidRPr="003D0CBB">
        <w:rPr>
          <w:rFonts w:ascii="Times New Roman" w:hAnsi="Times New Roman" w:cs="Times New Roman"/>
          <w:sz w:val="24"/>
          <w:szCs w:val="24"/>
        </w:rPr>
        <w:t>Here are some problems with the study:</w:t>
      </w:r>
    </w:p>
    <w:p w:rsidR="003D0CBB" w:rsidRPr="00E6638A" w:rsidRDefault="003D0CBB" w:rsidP="003D0CBB">
      <w:pPr>
        <w:pStyle w:val="ListParagraph"/>
        <w:numPr>
          <w:ilvl w:val="0"/>
          <w:numId w:val="2"/>
        </w:numPr>
        <w:spacing w:line="240" w:lineRule="auto"/>
        <w:jc w:val="both"/>
        <w:rPr>
          <w:rFonts w:ascii="Times New Roman" w:hAnsi="Times New Roman" w:cs="Times New Roman"/>
          <w:sz w:val="24"/>
          <w:szCs w:val="24"/>
        </w:rPr>
      </w:pPr>
      <w:r w:rsidRPr="00E6638A">
        <w:rPr>
          <w:rFonts w:ascii="Times New Roman" w:hAnsi="Times New Roman" w:cs="Times New Roman"/>
          <w:sz w:val="24"/>
          <w:szCs w:val="24"/>
        </w:rPr>
        <w:t xml:space="preserve">The sample for the study is too small and non-random to justify any belief in the estimate of medical foreclosures. For any survey to yield meaningful results, the sample size has to be appropriately representative of the large population and also to the extent possible, nationally representative through the use of appropriate weighting techniques. The survey conducted by the authors clearly does not meet these criteria. Moreover, it is not a random sample of homeowners, but specifically restricts the sample to those homeowners who have filed for foreclosure. By limiting the sample to those who have already filed for foreclosure, the study overstates the incidence of medical debt in foreclosures. The chosen sample is obviously one that has high levels of debt relative to income, so that any type of debt could cause a significant increase in the probability of filing for foreclosure. Therefore, it is not surprising that the respondents state </w:t>
      </w:r>
      <w:r w:rsidR="00E6638A" w:rsidRPr="00E6638A">
        <w:rPr>
          <w:rFonts w:ascii="Times New Roman" w:hAnsi="Times New Roman" w:cs="Times New Roman"/>
          <w:sz w:val="24"/>
          <w:szCs w:val="24"/>
        </w:rPr>
        <w:t xml:space="preserve">medical debts as a significant factor in their foreclosures. Other significant factors, not specifically mentioned in the study, would include any other type of debt such as credit card debts. This is not an indicator of medical debts causing the foreclosure. The cause could have been job loss or divorce, but since the respondent was unable to pay bills as a result of that, what we are observing is the co-existence of high bills and low income, rather than </w:t>
      </w:r>
      <w:proofErr w:type="gramStart"/>
      <w:r w:rsidR="00E6638A" w:rsidRPr="00E6638A">
        <w:rPr>
          <w:rFonts w:ascii="Times New Roman" w:hAnsi="Times New Roman" w:cs="Times New Roman"/>
          <w:sz w:val="24"/>
          <w:szCs w:val="24"/>
        </w:rPr>
        <w:t>a causation</w:t>
      </w:r>
      <w:proofErr w:type="gramEnd"/>
      <w:r w:rsidR="00E6638A" w:rsidRPr="00E6638A">
        <w:rPr>
          <w:rFonts w:ascii="Times New Roman" w:hAnsi="Times New Roman" w:cs="Times New Roman"/>
          <w:sz w:val="24"/>
          <w:szCs w:val="24"/>
        </w:rPr>
        <w:t xml:space="preserve">. </w:t>
      </w:r>
      <w:r w:rsidR="00E6638A">
        <w:rPr>
          <w:rFonts w:ascii="Times New Roman" w:hAnsi="Times New Roman" w:cs="Times New Roman"/>
          <w:sz w:val="24"/>
          <w:szCs w:val="24"/>
        </w:rPr>
        <w:t>T</w:t>
      </w:r>
      <w:r w:rsidRPr="00E6638A">
        <w:rPr>
          <w:rFonts w:ascii="Times New Roman" w:hAnsi="Times New Roman" w:cs="Times New Roman"/>
          <w:sz w:val="24"/>
          <w:szCs w:val="24"/>
        </w:rPr>
        <w:t xml:space="preserve">o account for causation, the study sample should have, at the very least, included a “control” group of medical debtors who did not file for foreclosure. In other words, if the authors were trying to establish whether medical debts </w:t>
      </w:r>
      <w:r w:rsidRPr="00E6638A">
        <w:rPr>
          <w:rFonts w:ascii="Times New Roman" w:hAnsi="Times New Roman" w:cs="Times New Roman"/>
          <w:i/>
          <w:sz w:val="24"/>
          <w:szCs w:val="24"/>
        </w:rPr>
        <w:t>cause</w:t>
      </w:r>
      <w:r w:rsidRPr="00E6638A">
        <w:rPr>
          <w:rFonts w:ascii="Times New Roman" w:hAnsi="Times New Roman" w:cs="Times New Roman"/>
          <w:sz w:val="24"/>
          <w:szCs w:val="24"/>
        </w:rPr>
        <w:t xml:space="preserve"> foreclosures, the appropriate sample should have included households with and without medical debt, and households who filed or did not file for bankruptcy. In short, what the authors have established is some correlation, but not causation.</w:t>
      </w:r>
    </w:p>
    <w:p w:rsidR="003B48C0" w:rsidRPr="003B48C0" w:rsidRDefault="003B48C0" w:rsidP="003B48C0">
      <w:pPr>
        <w:pStyle w:val="ListParagraph"/>
        <w:numPr>
          <w:ilvl w:val="0"/>
          <w:numId w:val="2"/>
        </w:numPr>
        <w:spacing w:line="240" w:lineRule="auto"/>
        <w:jc w:val="both"/>
        <w:rPr>
          <w:rFonts w:ascii="Times New Roman" w:hAnsi="Times New Roman"/>
          <w:sz w:val="24"/>
          <w:szCs w:val="24"/>
        </w:rPr>
      </w:pPr>
      <w:r w:rsidRPr="003B48C0">
        <w:rPr>
          <w:rFonts w:ascii="Times New Roman" w:hAnsi="Times New Roman"/>
          <w:sz w:val="24"/>
          <w:szCs w:val="24"/>
        </w:rPr>
        <w:t>The study also should have allowed for the possibility that other household characteristics, such as the filer’s work status, marital status, income, and other kinds of debts could have influenced the foreclosure. As is now standard in any economic analysis, this could be done through the use of appropriate regression techniques applied on a suitably large, random sample of filers and non-filers. The study does claim to have done multivariate analysis, but th</w:t>
      </w:r>
      <w:r w:rsidR="002B1E5C">
        <w:rPr>
          <w:rFonts w:ascii="Times New Roman" w:hAnsi="Times New Roman"/>
          <w:sz w:val="24"/>
          <w:szCs w:val="24"/>
        </w:rPr>
        <w:t>e sample problems persist in that</w:t>
      </w:r>
      <w:r w:rsidRPr="003B48C0">
        <w:rPr>
          <w:rFonts w:ascii="Times New Roman" w:hAnsi="Times New Roman"/>
          <w:sz w:val="24"/>
          <w:szCs w:val="24"/>
        </w:rPr>
        <w:t xml:space="preserve"> analysis as well</w:t>
      </w:r>
      <w:r>
        <w:rPr>
          <w:rFonts w:ascii="Times New Roman" w:hAnsi="Times New Roman"/>
          <w:sz w:val="24"/>
          <w:szCs w:val="24"/>
        </w:rPr>
        <w:t>.</w:t>
      </w:r>
    </w:p>
    <w:p w:rsidR="003B48C0" w:rsidRDefault="003B48C0" w:rsidP="003B48C0">
      <w:pPr>
        <w:pStyle w:val="ListParagraph"/>
        <w:numPr>
          <w:ilvl w:val="0"/>
          <w:numId w:val="2"/>
        </w:numPr>
        <w:spacing w:line="240" w:lineRule="auto"/>
        <w:jc w:val="both"/>
        <w:rPr>
          <w:rFonts w:ascii="Times New Roman" w:hAnsi="Times New Roman"/>
          <w:sz w:val="24"/>
          <w:szCs w:val="24"/>
        </w:rPr>
      </w:pPr>
      <w:r w:rsidRPr="003B48C0">
        <w:rPr>
          <w:rFonts w:ascii="Times New Roman" w:hAnsi="Times New Roman"/>
          <w:sz w:val="24"/>
          <w:szCs w:val="24"/>
        </w:rPr>
        <w:t>The study use</w:t>
      </w:r>
      <w:r>
        <w:rPr>
          <w:rFonts w:ascii="Times New Roman" w:hAnsi="Times New Roman"/>
          <w:sz w:val="24"/>
          <w:szCs w:val="24"/>
        </w:rPr>
        <w:t>s</w:t>
      </w:r>
      <w:r w:rsidRPr="003B48C0">
        <w:rPr>
          <w:rFonts w:ascii="Times New Roman" w:hAnsi="Times New Roman"/>
          <w:sz w:val="24"/>
          <w:szCs w:val="24"/>
        </w:rPr>
        <w:t xml:space="preserve"> an overly bro</w:t>
      </w:r>
      <w:r>
        <w:rPr>
          <w:rFonts w:ascii="Times New Roman" w:hAnsi="Times New Roman"/>
          <w:sz w:val="24"/>
          <w:szCs w:val="24"/>
        </w:rPr>
        <w:t>ad definition of “medical debtors</w:t>
      </w:r>
      <w:r w:rsidRPr="003B48C0">
        <w:rPr>
          <w:rFonts w:ascii="Times New Roman" w:hAnsi="Times New Roman"/>
          <w:sz w:val="24"/>
          <w:szCs w:val="24"/>
        </w:rPr>
        <w:t>,</w:t>
      </w:r>
      <w:r>
        <w:rPr>
          <w:rFonts w:ascii="Times New Roman" w:hAnsi="Times New Roman"/>
          <w:sz w:val="24"/>
          <w:szCs w:val="24"/>
        </w:rPr>
        <w:t>” which includes</w:t>
      </w:r>
      <w:r w:rsidRPr="003B48C0">
        <w:rPr>
          <w:rFonts w:ascii="Times New Roman" w:hAnsi="Times New Roman"/>
          <w:sz w:val="24"/>
          <w:szCs w:val="24"/>
        </w:rPr>
        <w:t xml:space="preserve"> people with gambling problems</w:t>
      </w:r>
      <w:r>
        <w:rPr>
          <w:rFonts w:ascii="Times New Roman" w:hAnsi="Times New Roman"/>
          <w:sz w:val="24"/>
          <w:szCs w:val="24"/>
        </w:rPr>
        <w:t xml:space="preserve">, drug abuse or alcohol problems and people experiencing births or deaths in the family. Further, it includes people who experienced any lost weeks of work due to illness, whether or not they actually lost their job because of it. </w:t>
      </w:r>
      <w:r w:rsidRPr="003B48C0">
        <w:rPr>
          <w:rFonts w:ascii="Times New Roman" w:hAnsi="Times New Roman"/>
          <w:sz w:val="24"/>
          <w:szCs w:val="24"/>
        </w:rPr>
        <w:t>The s</w:t>
      </w:r>
      <w:r>
        <w:rPr>
          <w:rFonts w:ascii="Times New Roman" w:hAnsi="Times New Roman"/>
          <w:sz w:val="24"/>
          <w:szCs w:val="24"/>
        </w:rPr>
        <w:t>urvey results shown in Table 3</w:t>
      </w:r>
      <w:r w:rsidRPr="003B48C0">
        <w:rPr>
          <w:rFonts w:ascii="Times New Roman" w:hAnsi="Times New Roman"/>
          <w:sz w:val="24"/>
          <w:szCs w:val="24"/>
        </w:rPr>
        <w:t xml:space="preserve"> of the study clearly state that only </w:t>
      </w:r>
      <w:r>
        <w:rPr>
          <w:rFonts w:ascii="Times New Roman" w:hAnsi="Times New Roman"/>
          <w:i/>
          <w:sz w:val="24"/>
          <w:szCs w:val="24"/>
        </w:rPr>
        <w:t>23</w:t>
      </w:r>
      <w:r w:rsidRPr="003B48C0">
        <w:rPr>
          <w:rFonts w:ascii="Times New Roman" w:hAnsi="Times New Roman"/>
          <w:i/>
          <w:sz w:val="24"/>
          <w:szCs w:val="24"/>
        </w:rPr>
        <w:t xml:space="preserve"> </w:t>
      </w:r>
      <w:r w:rsidRPr="003B48C0">
        <w:rPr>
          <w:rFonts w:ascii="Times New Roman" w:hAnsi="Times New Roman"/>
          <w:sz w:val="24"/>
          <w:szCs w:val="24"/>
        </w:rPr>
        <w:t>percent of the respondent</w:t>
      </w:r>
      <w:r w:rsidR="002B1E5C">
        <w:rPr>
          <w:rFonts w:ascii="Times New Roman" w:hAnsi="Times New Roman"/>
          <w:sz w:val="24"/>
          <w:szCs w:val="24"/>
        </w:rPr>
        <w:t>s believed that their foreclosure</w:t>
      </w:r>
      <w:r w:rsidRPr="003B48C0">
        <w:rPr>
          <w:rFonts w:ascii="Times New Roman" w:hAnsi="Times New Roman"/>
          <w:sz w:val="24"/>
          <w:szCs w:val="24"/>
        </w:rPr>
        <w:t xml:space="preserve"> was actually </w:t>
      </w:r>
      <w:r w:rsidRPr="003B48C0">
        <w:rPr>
          <w:rFonts w:ascii="Times New Roman" w:hAnsi="Times New Roman"/>
          <w:i/>
          <w:sz w:val="24"/>
          <w:szCs w:val="24"/>
        </w:rPr>
        <w:t>caused</w:t>
      </w:r>
      <w:r w:rsidRPr="003B48C0">
        <w:rPr>
          <w:rFonts w:ascii="Times New Roman" w:hAnsi="Times New Roman"/>
          <w:sz w:val="24"/>
          <w:szCs w:val="24"/>
        </w:rPr>
        <w:t xml:space="preserve"> by medical bills. However, the authors chose to add to this number the percent of people who lost weeks of work due to illness, the per</w:t>
      </w:r>
      <w:r>
        <w:rPr>
          <w:rFonts w:ascii="Times New Roman" w:hAnsi="Times New Roman"/>
          <w:sz w:val="24"/>
          <w:szCs w:val="24"/>
        </w:rPr>
        <w:t>cent of people with more than $1</w:t>
      </w:r>
      <w:r w:rsidRPr="003B48C0">
        <w:rPr>
          <w:rFonts w:ascii="Times New Roman" w:hAnsi="Times New Roman"/>
          <w:sz w:val="24"/>
          <w:szCs w:val="24"/>
        </w:rPr>
        <w:t xml:space="preserve">000 in medical bills, and the percent of people </w:t>
      </w:r>
      <w:r w:rsidRPr="003B48C0">
        <w:rPr>
          <w:rFonts w:ascii="Times New Roman" w:hAnsi="Times New Roman"/>
          <w:sz w:val="24"/>
          <w:szCs w:val="24"/>
        </w:rPr>
        <w:lastRenderedPageBreak/>
        <w:t xml:space="preserve">reporting any medical problems. This is clearly an overstatement of the problem. Since the respondents themselves do not believe that these other factors caused the </w:t>
      </w:r>
      <w:r>
        <w:rPr>
          <w:rFonts w:ascii="Times New Roman" w:hAnsi="Times New Roman"/>
          <w:sz w:val="24"/>
          <w:szCs w:val="24"/>
        </w:rPr>
        <w:t>foreclosures</w:t>
      </w:r>
      <w:r w:rsidRPr="003B48C0">
        <w:rPr>
          <w:rFonts w:ascii="Times New Roman" w:hAnsi="Times New Roman"/>
          <w:sz w:val="24"/>
          <w:szCs w:val="24"/>
        </w:rPr>
        <w:t xml:space="preserve">, it is wrong to ascribe the </w:t>
      </w:r>
      <w:r w:rsidR="002B1E5C">
        <w:rPr>
          <w:rFonts w:ascii="Times New Roman" w:hAnsi="Times New Roman"/>
          <w:sz w:val="24"/>
          <w:szCs w:val="24"/>
        </w:rPr>
        <w:t>foreclosures</w:t>
      </w:r>
      <w:r w:rsidRPr="003B48C0">
        <w:rPr>
          <w:rFonts w:ascii="Times New Roman" w:hAnsi="Times New Roman"/>
          <w:sz w:val="24"/>
          <w:szCs w:val="24"/>
        </w:rPr>
        <w:t xml:space="preserve"> to their medical costs. A related point is that the survey fails to provide inf</w:t>
      </w:r>
      <w:r w:rsidR="002B1E5C">
        <w:rPr>
          <w:rFonts w:ascii="Times New Roman" w:hAnsi="Times New Roman"/>
          <w:sz w:val="24"/>
          <w:szCs w:val="24"/>
        </w:rPr>
        <w:t xml:space="preserve">ormation on other causes of foreclosures </w:t>
      </w:r>
      <w:r w:rsidRPr="003B48C0">
        <w:rPr>
          <w:rFonts w:ascii="Times New Roman" w:hAnsi="Times New Roman"/>
          <w:sz w:val="24"/>
          <w:szCs w:val="24"/>
        </w:rPr>
        <w:t>or how the responden</w:t>
      </w:r>
      <w:r>
        <w:rPr>
          <w:rFonts w:ascii="Times New Roman" w:hAnsi="Times New Roman"/>
          <w:sz w:val="24"/>
          <w:szCs w:val="24"/>
        </w:rPr>
        <w:t xml:space="preserve">ts would rank different factors. </w:t>
      </w:r>
      <w:r w:rsidRPr="003B48C0">
        <w:rPr>
          <w:rFonts w:ascii="Times New Roman" w:hAnsi="Times New Roman"/>
          <w:sz w:val="24"/>
          <w:szCs w:val="24"/>
        </w:rPr>
        <w:t xml:space="preserve">Therefore, it is unclear whether medical bills were the most important cause or just another cause. </w:t>
      </w:r>
    </w:p>
    <w:p w:rsidR="00345274" w:rsidRDefault="003B48C0" w:rsidP="003B48C0">
      <w:pPr>
        <w:spacing w:line="240" w:lineRule="auto"/>
        <w:ind w:left="720" w:firstLine="720"/>
        <w:jc w:val="both"/>
        <w:rPr>
          <w:rFonts w:ascii="Times New Roman" w:hAnsi="Times New Roman"/>
          <w:sz w:val="24"/>
          <w:szCs w:val="24"/>
        </w:rPr>
      </w:pPr>
      <w:r>
        <w:rPr>
          <w:rFonts w:ascii="Times New Roman" w:hAnsi="Times New Roman"/>
          <w:sz w:val="24"/>
          <w:szCs w:val="24"/>
        </w:rPr>
        <w:t xml:space="preserve">Based on my reading of the study, I do not believe that the results are representative of the entire United States or even of the four states that were surveyed, and </w:t>
      </w:r>
      <w:r w:rsidR="002A7808">
        <w:rPr>
          <w:rFonts w:ascii="Times New Roman" w:hAnsi="Times New Roman"/>
          <w:sz w:val="24"/>
          <w:szCs w:val="24"/>
        </w:rPr>
        <w:t>the eff</w:t>
      </w:r>
      <w:r>
        <w:rPr>
          <w:rFonts w:ascii="Times New Roman" w:hAnsi="Times New Roman"/>
          <w:sz w:val="24"/>
          <w:szCs w:val="24"/>
        </w:rPr>
        <w:t>ect of medical bills on foreclosures</w:t>
      </w:r>
      <w:r w:rsidR="002A7808">
        <w:rPr>
          <w:rFonts w:ascii="Times New Roman" w:hAnsi="Times New Roman"/>
          <w:sz w:val="24"/>
          <w:szCs w:val="24"/>
        </w:rPr>
        <w:t xml:space="preserve"> is open to question</w:t>
      </w:r>
      <w:r w:rsidR="002B1E5C">
        <w:rPr>
          <w:rFonts w:ascii="Times New Roman" w:hAnsi="Times New Roman"/>
          <w:sz w:val="24"/>
          <w:szCs w:val="24"/>
        </w:rPr>
        <w:t>.</w:t>
      </w:r>
    </w:p>
    <w:p w:rsidR="00345274" w:rsidRDefault="00345274" w:rsidP="00345274">
      <w:pPr>
        <w:spacing w:line="240" w:lineRule="auto"/>
        <w:jc w:val="both"/>
        <w:rPr>
          <w:rFonts w:ascii="Times New Roman" w:hAnsi="Times New Roman"/>
          <w:sz w:val="24"/>
          <w:szCs w:val="24"/>
        </w:rPr>
      </w:pPr>
    </w:p>
    <w:p w:rsidR="00345274" w:rsidRDefault="00345274" w:rsidP="00345274">
      <w:pPr>
        <w:spacing w:line="240" w:lineRule="auto"/>
        <w:jc w:val="both"/>
        <w:rPr>
          <w:rFonts w:ascii="Times New Roman" w:hAnsi="Times New Roman"/>
          <w:sz w:val="24"/>
          <w:szCs w:val="24"/>
        </w:rPr>
      </w:pPr>
      <w:proofErr w:type="gramStart"/>
      <w:r>
        <w:rPr>
          <w:rFonts w:ascii="Times New Roman" w:hAnsi="Times New Roman"/>
          <w:sz w:val="24"/>
          <w:szCs w:val="24"/>
        </w:rPr>
        <w:t>Response to Questions 2a and 2b.</w:t>
      </w:r>
      <w:proofErr w:type="gramEnd"/>
    </w:p>
    <w:p w:rsidR="00345274" w:rsidRDefault="00345274" w:rsidP="00345274">
      <w:pPr>
        <w:pStyle w:val="NormalWeb"/>
        <w:ind w:firstLine="360"/>
        <w:jc w:val="both"/>
      </w:pPr>
      <w:r>
        <w:tab/>
        <w:t xml:space="preserve">The definition of a medically distressed debtor is open to abuse and fraud. By definition, a medically distressed debtor is anyone who incurred debts of the lesser of $10,000 or 10 percent of income at any time within a twelve month period in the three years prior to the filing. To see what this implies for the actual level of medical debts, it is helpful to look at a typical distribution of bankruptcy filers by income level. A study of the distribution of bankruptcy filers by income in 2000-2002 showed that more than 85 percent of filers had annual incomes less than or equal to $48,000, with almost 60 percent earning </w:t>
      </w:r>
      <w:proofErr w:type="gramStart"/>
      <w:r>
        <w:t>between $24,000-$36,000</w:t>
      </w:r>
      <w:proofErr w:type="gramEnd"/>
      <w:r>
        <w:t>.</w:t>
      </w:r>
      <w:r>
        <w:rPr>
          <w:rStyle w:val="FootnoteReference"/>
        </w:rPr>
        <w:footnoteReference w:id="1"/>
      </w:r>
      <w:r>
        <w:t xml:space="preserve"> This means that if the average filer spent about $2400-$4000 on medicines or medical care in any year, then they would qualify for a medical bankruptcy. This seems like a relatively low level of debt considering that the</w:t>
      </w:r>
      <w:r w:rsidRPr="00726E2C">
        <w:t xml:space="preserve"> </w:t>
      </w:r>
      <w:r>
        <w:t xml:space="preserve">same study shows that credit card debts average approximately $20,000 for this group of low-income borrowers. In the worst case scenario, this could create perverse incentives for households since by accumulating a relatively lower level of medical </w:t>
      </w:r>
      <w:proofErr w:type="gramStart"/>
      <w:r>
        <w:t>debt,</w:t>
      </w:r>
      <w:proofErr w:type="gramEnd"/>
      <w:r>
        <w:t xml:space="preserve"> they could take advantage of the high exemptions and the debt discharge provisions of Chapter 7 to get rid of their high credit card debts. In fact, it might even tempt households to accumulate other types of debt prior to the filing, since they are eligible for debt discharge under Chapter 7. Therefore, by allowing debtors to file as medical debtors irrespective of whether medical debts are actually driving the household to bankruptcy, the Medical Bankruptcy Fairness Act would essentially be providing relief from credit card debt rather than medical debts.</w:t>
      </w:r>
      <w:r>
        <w:rPr>
          <w:rStyle w:val="FootnoteReference"/>
        </w:rPr>
        <w:footnoteReference w:id="2"/>
      </w:r>
      <w:r>
        <w:t xml:space="preserve"> Given that the Act would allow not only medical filers, but also all other debtors, to file for bankruptcy under Chapter 7, I believe that the credit counseling requirement should be made mandatory even under the provisions of the Act. Filers with large debts, whether medical or other, would benefit from such counseling. While it might be an irritant to non-opportunistic debtors like Ms. Burns, overall the system would be better served by requiring such counseling for all debtors, rather than removing it for some and not others. This is particularly true since even filers with primarily medical debts are likely to have accumulated other debts, and these sessions might serve to help them manage their other debts better.</w:t>
      </w:r>
    </w:p>
    <w:p w:rsidR="00345274" w:rsidRDefault="00345274" w:rsidP="00345274">
      <w:pPr>
        <w:pStyle w:val="NormalWeb"/>
        <w:jc w:val="both"/>
      </w:pPr>
    </w:p>
    <w:p w:rsidR="00345274" w:rsidRDefault="00345274" w:rsidP="00345274">
      <w:pPr>
        <w:pStyle w:val="NormalWeb"/>
        <w:jc w:val="both"/>
      </w:pPr>
      <w:proofErr w:type="gramStart"/>
      <w:r>
        <w:lastRenderedPageBreak/>
        <w:t>Response to Questions 3a and 3b.</w:t>
      </w:r>
      <w:proofErr w:type="gramEnd"/>
    </w:p>
    <w:p w:rsidR="0024155D" w:rsidRDefault="0024155D" w:rsidP="00345274">
      <w:pPr>
        <w:pStyle w:val="NormalWeb"/>
        <w:jc w:val="both"/>
      </w:pPr>
      <w:r>
        <w:tab/>
        <w:t xml:space="preserve">I believe that the current system would be open to abuse and fraud if the Medical Bankruptcy Fairness Act were made into law. </w:t>
      </w:r>
      <w:r w:rsidR="0002184A">
        <w:t>This could happen in the following ways:</w:t>
      </w:r>
    </w:p>
    <w:p w:rsidR="0024155D" w:rsidRDefault="00345274" w:rsidP="0002184A">
      <w:pPr>
        <w:pStyle w:val="NormalWeb"/>
        <w:ind w:firstLine="360"/>
        <w:jc w:val="both"/>
      </w:pPr>
      <w:r>
        <w:tab/>
      </w:r>
      <w:r w:rsidR="0024155D">
        <w:t xml:space="preserve">A study of the distribution of bankruptcy filers by income in 2000-2002 showed that more than 85 percent of filers had annual incomes less than or equal to $48,000, with almost 60 percent earning </w:t>
      </w:r>
      <w:proofErr w:type="gramStart"/>
      <w:r w:rsidR="0024155D">
        <w:t>between $24,000-$36,000</w:t>
      </w:r>
      <w:proofErr w:type="gramEnd"/>
      <w:r w:rsidR="0024155D">
        <w:t>.</w:t>
      </w:r>
      <w:r w:rsidR="0024155D">
        <w:rPr>
          <w:rStyle w:val="FootnoteReference"/>
        </w:rPr>
        <w:footnoteReference w:id="3"/>
      </w:r>
      <w:r w:rsidR="0024155D">
        <w:t xml:space="preserve"> This means that if the average filer spent about $2400-$4000 on medicines or medical care in any year, then they would qualify for a medical bankruptcy. This seems like a relatively low level of debt considering that the</w:t>
      </w:r>
      <w:r w:rsidR="0024155D" w:rsidRPr="00726E2C">
        <w:t xml:space="preserve"> </w:t>
      </w:r>
      <w:r w:rsidR="0024155D">
        <w:t xml:space="preserve">same study shows that credit card debts average approximately $20,000 for this group of low-income borrowers. In the worst case scenario, this could create perverse incentives for households since by accumulating a relatively lower level of medical </w:t>
      </w:r>
      <w:proofErr w:type="gramStart"/>
      <w:r w:rsidR="0024155D">
        <w:t>debt,</w:t>
      </w:r>
      <w:proofErr w:type="gramEnd"/>
      <w:r w:rsidR="0024155D">
        <w:t xml:space="preserve"> they could take advantage of the high exemptions and the debt discharge provisions of Chapter 7 to get rid of their high credit card debts. In fact, it might even tempt households to accumulate other types of debt prior to the filing, since they are eligible for debt discharge under Chapter 7. Therefore, by allowing debtors to file as medical debtors irrespective of whether medical debts are actually driving the household to bankruptcy, the Medical Bankruptcy Fairness Act would essentially be providing relief from credit card debt rather than medical debts.</w:t>
      </w:r>
      <w:r w:rsidR="0024155D">
        <w:rPr>
          <w:rStyle w:val="FootnoteReference"/>
        </w:rPr>
        <w:footnoteReference w:id="4"/>
      </w:r>
      <w:r w:rsidR="0024155D">
        <w:t xml:space="preserve"> </w:t>
      </w:r>
    </w:p>
    <w:p w:rsidR="0024155D" w:rsidRDefault="0024155D" w:rsidP="0002184A">
      <w:pPr>
        <w:pStyle w:val="NormalWeb"/>
        <w:shd w:val="clear" w:color="auto" w:fill="FFFFFF"/>
        <w:ind w:firstLine="360"/>
        <w:jc w:val="both"/>
      </w:pPr>
      <w:r>
        <w:t xml:space="preserve">The means test incorporated into the bankruptcy code in 2005 was designed to limit the use of Chapter 7 bankruptcy to those who truly cannot pay their debts. In effect, it limits the ability of high income filers to walk away from their debts when they have the ability to pay for them by forcing them into Chapter 13 bankruptcy. This increases efficiency and ensures that creditors get at least a minimum return on their debt. Doing away with the means test under the Medical Bankruptcy Fairness Act would allow high income individuals to walk away from not only their medical debts, but also other debts such as credit card debts. For instance, it is typically the case that families incurring high medical debts, especially due to job loss or other adverse </w:t>
      </w:r>
      <w:proofErr w:type="gramStart"/>
      <w:r>
        <w:t>events,</w:t>
      </w:r>
      <w:proofErr w:type="gramEnd"/>
      <w:r>
        <w:t xml:space="preserve"> also incur other debts, such as car loans, unpaid utility bills, credit card debts etc. If medical filers are no longer subject to means testing, then high income debtors would have an easier time walking away from their other dischargeable debts. In the study of bankruptcy filers cited earlier, those with incomes higher than $70,000 had average credit card debts of $42,000. Allowing this group to take advantage of the debt discharge provisions under Chapter 7 would hit creditors particularly hard. This is the exact situation that the 2005 bankruptcy reform tried to address. One possibility to avoid such a situation could be to set higher percentage of income thresholds for medical debt for higher income households, to allow eligibility for a Chapter 7 </w:t>
      </w:r>
      <w:proofErr w:type="spellStart"/>
      <w:r>
        <w:t>bankruptcty</w:t>
      </w:r>
      <w:proofErr w:type="spellEnd"/>
      <w:r>
        <w:t>.</w:t>
      </w:r>
    </w:p>
    <w:p w:rsidR="0002184A" w:rsidRDefault="0002184A" w:rsidP="0002184A">
      <w:pPr>
        <w:pStyle w:val="NormalWeb"/>
        <w:shd w:val="clear" w:color="auto" w:fill="FFFFFF"/>
        <w:ind w:firstLine="360"/>
        <w:jc w:val="both"/>
        <w:rPr>
          <w:rFonts w:eastAsiaTheme="minorHAnsi"/>
        </w:rPr>
      </w:pPr>
      <w:r>
        <w:rPr>
          <w:rFonts w:eastAsiaTheme="minorHAnsi"/>
        </w:rPr>
        <w:t xml:space="preserve">The high exemption limits also create incentives for debtors to act opportunistically. The incentive for debtors under these high exemption limits is to reallocate all wealth from non-exempt assets to exempt assets. For instance, if the homestead exemption were raised to $250,000 the individual would have an incentive to convert all non-housing assets to housing </w:t>
      </w:r>
      <w:r>
        <w:rPr>
          <w:rFonts w:eastAsiaTheme="minorHAnsi"/>
        </w:rPr>
        <w:lastRenderedPageBreak/>
        <w:t>(say by using all available bank accounts to pay off the mortgage), so as to protect more of their income and wealth from the creditors.</w:t>
      </w:r>
    </w:p>
    <w:p w:rsidR="0002184A" w:rsidRDefault="0002184A" w:rsidP="0002184A">
      <w:pPr>
        <w:pStyle w:val="NormalWeb"/>
        <w:ind w:firstLine="360"/>
        <w:jc w:val="both"/>
      </w:pPr>
      <w:r>
        <w:rPr>
          <w:rFonts w:eastAsiaTheme="minorHAnsi"/>
        </w:rPr>
        <w:t>All of these provisions would have an effect on the market for credit, and therefore might have adverse effects on exactly the debtors that the Act is trying to help. First, t</w:t>
      </w:r>
      <w:r>
        <w:t xml:space="preserve">he Act does little, if anything at all, for the creditors in these medical transactions. As discussed in the previous two paragraphs, there could be potentially serious consequences for medical service providers if we make it easier for debtors to file for medical bankruptcy involving the discharge of all medical debts. </w:t>
      </w:r>
      <w:r>
        <w:rPr>
          <w:rFonts w:eastAsiaTheme="minorHAnsi"/>
        </w:rPr>
        <w:t>In fact, research has shown that between 1994 and 2000, unsecured creditors received nothing in about 96 percent of Chapter 7 bankruptcy filings, and in most Chapter 13 cases, only mortgage creditors received anything at all.</w:t>
      </w:r>
      <w:r>
        <w:rPr>
          <w:rStyle w:val="FootnoteReference"/>
          <w:rFonts w:eastAsiaTheme="minorHAnsi"/>
        </w:rPr>
        <w:footnoteReference w:id="5"/>
      </w:r>
      <w:r w:rsidRPr="001F2C7B">
        <w:t xml:space="preserve"> </w:t>
      </w:r>
      <w:r>
        <w:t>These higher costs of bad debts will ultimately be passed on to consumers in the form of higher prices for care or poor delivery of care.</w:t>
      </w:r>
    </w:p>
    <w:p w:rsidR="0002184A" w:rsidRDefault="0002184A" w:rsidP="0002184A">
      <w:pPr>
        <w:pStyle w:val="NormalWeb"/>
        <w:ind w:firstLine="360"/>
        <w:jc w:val="both"/>
        <w:rPr>
          <w:rFonts w:eastAsiaTheme="minorHAnsi"/>
        </w:rPr>
      </w:pPr>
      <w:r>
        <w:t>Second, t</w:t>
      </w:r>
      <w:r w:rsidRPr="009F375C">
        <w:t xml:space="preserve">here is </w:t>
      </w:r>
      <w:r>
        <w:t xml:space="preserve">now </w:t>
      </w:r>
      <w:r w:rsidRPr="009F375C">
        <w:t>a</w:t>
      </w:r>
      <w:r>
        <w:t xml:space="preserve"> fairly</w:t>
      </w:r>
      <w:r w:rsidRPr="009F375C">
        <w:t xml:space="preserve"> large volume of economics papers that </w:t>
      </w:r>
      <w:r>
        <w:t>discusses</w:t>
      </w:r>
      <w:r w:rsidRPr="009F375C">
        <w:t xml:space="preserve"> how high bankruptcy exemptions affect debtor behavior. Debtors value high exemptions because it provides them with consumption insurance by discharging some or all of their debts when a drop in income would otherwise have caused a drop in consumption. </w:t>
      </w:r>
      <w:r w:rsidRPr="009F375C">
        <w:rPr>
          <w:rFonts w:eastAsiaTheme="minorHAnsi"/>
        </w:rPr>
        <w:t>However, because higher exemptions for wealth and income make filing for bankruptcy more attractive,</w:t>
      </w:r>
      <w:r>
        <w:rPr>
          <w:rFonts w:eastAsiaTheme="minorHAnsi"/>
        </w:rPr>
        <w:t xml:space="preserve"> studies show that </w:t>
      </w:r>
      <w:r w:rsidRPr="009F375C">
        <w:rPr>
          <w:rFonts w:eastAsiaTheme="minorHAnsi"/>
        </w:rPr>
        <w:t>the number of filings increases</w:t>
      </w:r>
      <w:r>
        <w:rPr>
          <w:rFonts w:eastAsiaTheme="minorHAnsi"/>
        </w:rPr>
        <w:t xml:space="preserve"> when exemptions increase</w:t>
      </w:r>
      <w:r w:rsidRPr="009F375C">
        <w:rPr>
          <w:rFonts w:eastAsiaTheme="minorHAnsi"/>
        </w:rPr>
        <w:t>.</w:t>
      </w:r>
      <w:r>
        <w:rPr>
          <w:rStyle w:val="FootnoteReference"/>
          <w:rFonts w:eastAsiaTheme="minorHAnsi"/>
        </w:rPr>
        <w:footnoteReference w:id="6"/>
      </w:r>
      <w:r w:rsidRPr="009F375C">
        <w:rPr>
          <w:rFonts w:eastAsiaTheme="minorHAnsi"/>
        </w:rPr>
        <w:t xml:space="preserve"> </w:t>
      </w:r>
      <w:r>
        <w:rPr>
          <w:rFonts w:eastAsiaTheme="minorHAnsi"/>
        </w:rPr>
        <w:t xml:space="preserve">This adversely affects the market for credit. To insure against the probability of a bankruptcy filing, </w:t>
      </w:r>
      <w:r w:rsidRPr="009F375C">
        <w:rPr>
          <w:rFonts w:eastAsiaTheme="minorHAnsi"/>
        </w:rPr>
        <w:t>lenders raise interest rates or ration credit,</w:t>
      </w:r>
      <w:r>
        <w:rPr>
          <w:rStyle w:val="FootnoteReference"/>
          <w:rFonts w:eastAsiaTheme="minorHAnsi"/>
        </w:rPr>
        <w:footnoteReference w:id="7"/>
      </w:r>
      <w:r w:rsidRPr="009F375C">
        <w:rPr>
          <w:rFonts w:eastAsiaTheme="minorHAnsi"/>
        </w:rPr>
        <w:t xml:space="preserve"> which harms debtors who repay as well as those who would like to borrow but are rejected.</w:t>
      </w:r>
      <w:r>
        <w:rPr>
          <w:rStyle w:val="FootnoteReference"/>
          <w:rFonts w:eastAsiaTheme="minorHAnsi"/>
        </w:rPr>
        <w:footnoteReference w:id="8"/>
      </w:r>
      <w:r>
        <w:rPr>
          <w:rFonts w:eastAsiaTheme="minorHAnsi"/>
        </w:rPr>
        <w:t xml:space="preserve"> Hence creditors alter behavior when faced with higher exemptions.</w:t>
      </w:r>
      <w:r w:rsidR="001A6611">
        <w:rPr>
          <w:rFonts w:eastAsiaTheme="minorHAnsi"/>
        </w:rPr>
        <w:t xml:space="preserve"> This will ultimately impact debtors adversely.</w:t>
      </w:r>
    </w:p>
    <w:p w:rsidR="00B26CCF" w:rsidRDefault="00B26CCF" w:rsidP="00B26CCF">
      <w:pPr>
        <w:pStyle w:val="NormalWeb"/>
        <w:jc w:val="both"/>
        <w:rPr>
          <w:rFonts w:eastAsiaTheme="minorHAnsi"/>
        </w:rPr>
      </w:pPr>
      <w:proofErr w:type="gramStart"/>
      <w:r>
        <w:rPr>
          <w:rFonts w:eastAsiaTheme="minorHAnsi"/>
        </w:rPr>
        <w:t>Response to Question 4.</w:t>
      </w:r>
      <w:proofErr w:type="gramEnd"/>
    </w:p>
    <w:p w:rsidR="00B26CCF" w:rsidRDefault="00B26CCF" w:rsidP="00B26CCF">
      <w:pPr>
        <w:pStyle w:val="NormalWeb"/>
        <w:jc w:val="both"/>
        <w:rPr>
          <w:rFonts w:eastAsiaTheme="minorHAnsi"/>
        </w:rPr>
      </w:pPr>
      <w:r>
        <w:rPr>
          <w:rFonts w:eastAsiaTheme="minorHAnsi"/>
        </w:rPr>
        <w:tab/>
        <w:t xml:space="preserve">It is simply not worth anyone’s while to comment on studies with 20 respondents. The same issues that I brought out in response to the medical foreclosures </w:t>
      </w:r>
      <w:proofErr w:type="gramStart"/>
      <w:r>
        <w:rPr>
          <w:rFonts w:eastAsiaTheme="minorHAnsi"/>
        </w:rPr>
        <w:t>study,</w:t>
      </w:r>
      <w:proofErr w:type="gramEnd"/>
      <w:r>
        <w:rPr>
          <w:rFonts w:eastAsiaTheme="minorHAnsi"/>
        </w:rPr>
        <w:t xml:space="preserve"> apply with even more force to this study. No results from such surveys have any meaning whatsoever.</w:t>
      </w:r>
    </w:p>
    <w:p w:rsidR="00B26CCF" w:rsidRDefault="00B26CCF" w:rsidP="00B26CCF">
      <w:pPr>
        <w:pStyle w:val="NormalWeb"/>
        <w:jc w:val="both"/>
        <w:rPr>
          <w:rFonts w:eastAsiaTheme="minorHAnsi"/>
        </w:rPr>
      </w:pPr>
    </w:p>
    <w:p w:rsidR="00B26CCF" w:rsidRDefault="00B26CCF" w:rsidP="00B26CCF">
      <w:pPr>
        <w:pStyle w:val="NormalWeb"/>
        <w:jc w:val="both"/>
        <w:rPr>
          <w:rFonts w:eastAsiaTheme="minorHAnsi"/>
        </w:rPr>
      </w:pPr>
      <w:proofErr w:type="gramStart"/>
      <w:r>
        <w:rPr>
          <w:rFonts w:eastAsiaTheme="minorHAnsi"/>
        </w:rPr>
        <w:t>Response to Question 5.</w:t>
      </w:r>
      <w:proofErr w:type="gramEnd"/>
    </w:p>
    <w:p w:rsidR="00B26CCF" w:rsidRDefault="00B26CCF" w:rsidP="00B26CCF">
      <w:pPr>
        <w:pStyle w:val="NormalWeb"/>
        <w:jc w:val="both"/>
        <w:rPr>
          <w:rFonts w:eastAsiaTheme="minorHAnsi"/>
        </w:rPr>
      </w:pPr>
      <w:r>
        <w:rPr>
          <w:rFonts w:eastAsiaTheme="minorHAnsi"/>
        </w:rPr>
        <w:lastRenderedPageBreak/>
        <w:tab/>
        <w:t>As I mentioned earlier, the problem with establishing causation in the kinds of survey analysis presented here arises because people who have already filed for bankruptcy are a selected group or sample who have problems managing not just their medical debts, but all other debts. The average credit card balance for bankruptcy filers is more than $20,000 while the average for all American families as shown by the Survey of Consumer Finances is about $</w:t>
      </w:r>
      <w:r w:rsidR="00C701B0">
        <w:rPr>
          <w:rFonts w:eastAsiaTheme="minorHAnsi"/>
        </w:rPr>
        <w:t xml:space="preserve">4000-$5000. This suggests that this group includes people who are either financially irresponsible, or they have suffered other adverse events such as job loss or income loss which has caused them to file for bankruptcy. Hence asking this group questions about whether they had any medical debts that could have caused the filing is meaningless. The co-existence of medical debts with other debts is insufficient to establish causation. </w:t>
      </w:r>
    </w:p>
    <w:p w:rsidR="0002184A" w:rsidRDefault="0002184A" w:rsidP="0002184A">
      <w:pPr>
        <w:pStyle w:val="NormalWeb"/>
        <w:shd w:val="clear" w:color="auto" w:fill="FFFFFF"/>
        <w:ind w:firstLine="360"/>
        <w:jc w:val="both"/>
      </w:pPr>
    </w:p>
    <w:p w:rsidR="00345274" w:rsidRDefault="00345274" w:rsidP="0002184A">
      <w:pPr>
        <w:pStyle w:val="NormalWeb"/>
        <w:jc w:val="both"/>
      </w:pPr>
    </w:p>
    <w:p w:rsidR="00345274" w:rsidRDefault="00345274" w:rsidP="0002184A">
      <w:pPr>
        <w:spacing w:line="240" w:lineRule="auto"/>
        <w:jc w:val="both"/>
        <w:rPr>
          <w:rFonts w:ascii="Times New Roman" w:hAnsi="Times New Roman"/>
          <w:sz w:val="24"/>
          <w:szCs w:val="24"/>
        </w:rPr>
      </w:pPr>
    </w:p>
    <w:p w:rsidR="003B48C0" w:rsidRPr="003B48C0" w:rsidRDefault="003B48C0" w:rsidP="0002184A">
      <w:pPr>
        <w:spacing w:line="240" w:lineRule="auto"/>
        <w:ind w:left="720" w:firstLine="720"/>
        <w:jc w:val="both"/>
        <w:rPr>
          <w:rFonts w:ascii="Times New Roman" w:hAnsi="Times New Roman"/>
          <w:sz w:val="24"/>
          <w:szCs w:val="24"/>
        </w:rPr>
      </w:pPr>
    </w:p>
    <w:sectPr w:rsidR="003B48C0" w:rsidRPr="003B48C0" w:rsidSect="00A339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FE2" w:rsidRDefault="00810FE2" w:rsidP="00345274">
      <w:pPr>
        <w:spacing w:after="0" w:line="240" w:lineRule="auto"/>
      </w:pPr>
      <w:r>
        <w:separator/>
      </w:r>
    </w:p>
  </w:endnote>
  <w:endnote w:type="continuationSeparator" w:id="0">
    <w:p w:rsidR="00810FE2" w:rsidRDefault="00810FE2" w:rsidP="00345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FE2" w:rsidRDefault="00810FE2" w:rsidP="00345274">
      <w:pPr>
        <w:spacing w:after="0" w:line="240" w:lineRule="auto"/>
      </w:pPr>
      <w:r>
        <w:separator/>
      </w:r>
    </w:p>
  </w:footnote>
  <w:footnote w:type="continuationSeparator" w:id="0">
    <w:p w:rsidR="00810FE2" w:rsidRDefault="00810FE2" w:rsidP="00345274">
      <w:pPr>
        <w:spacing w:after="0" w:line="240" w:lineRule="auto"/>
      </w:pPr>
      <w:r>
        <w:continuationSeparator/>
      </w:r>
    </w:p>
  </w:footnote>
  <w:footnote w:id="1">
    <w:p w:rsidR="00810FE2" w:rsidRPr="005917C1" w:rsidRDefault="00810FE2" w:rsidP="00345274">
      <w:pPr>
        <w:autoSpaceDE w:val="0"/>
        <w:autoSpaceDN w:val="0"/>
        <w:adjustRightInd w:val="0"/>
        <w:spacing w:after="0" w:line="240" w:lineRule="auto"/>
        <w:rPr>
          <w:rFonts w:ascii="Times New Roman" w:hAnsi="Times New Roman"/>
          <w:sz w:val="20"/>
          <w:szCs w:val="20"/>
        </w:rPr>
      </w:pPr>
      <w:r>
        <w:rPr>
          <w:rStyle w:val="FootnoteReference"/>
        </w:rPr>
        <w:footnoteRef/>
      </w:r>
      <w:r>
        <w:t xml:space="preserve"> </w:t>
      </w:r>
      <w:r w:rsidRPr="00600841">
        <w:rPr>
          <w:rFonts w:ascii="Times New Roman" w:hAnsi="Times New Roman"/>
          <w:sz w:val="20"/>
          <w:szCs w:val="20"/>
        </w:rPr>
        <w:t xml:space="preserve">Marianne B. </w:t>
      </w:r>
      <w:proofErr w:type="spellStart"/>
      <w:r w:rsidRPr="00600841">
        <w:rPr>
          <w:rFonts w:ascii="Times New Roman" w:hAnsi="Times New Roman"/>
          <w:sz w:val="20"/>
          <w:szCs w:val="20"/>
        </w:rPr>
        <w:t>Culhane</w:t>
      </w:r>
      <w:proofErr w:type="spellEnd"/>
      <w:r w:rsidRPr="00600841">
        <w:rPr>
          <w:rFonts w:ascii="Times New Roman" w:hAnsi="Times New Roman"/>
          <w:sz w:val="20"/>
          <w:szCs w:val="20"/>
        </w:rPr>
        <w:t xml:space="preserve"> &amp; Michaela M. White, </w:t>
      </w:r>
      <w:r w:rsidRPr="00600841">
        <w:rPr>
          <w:rFonts w:ascii="Times New Roman" w:hAnsi="Times New Roman"/>
          <w:i/>
          <w:iCs/>
          <w:sz w:val="20"/>
          <w:szCs w:val="20"/>
        </w:rPr>
        <w:t>Taking the New Consumer Bankruptcy Model</w:t>
      </w:r>
      <w:r>
        <w:rPr>
          <w:rFonts w:ascii="Times New Roman" w:hAnsi="Times New Roman"/>
          <w:i/>
          <w:iCs/>
          <w:sz w:val="20"/>
          <w:szCs w:val="20"/>
        </w:rPr>
        <w:t xml:space="preserve"> </w:t>
      </w:r>
      <w:r w:rsidRPr="00600841">
        <w:rPr>
          <w:rFonts w:ascii="Times New Roman" w:hAnsi="Times New Roman"/>
          <w:i/>
          <w:iCs/>
          <w:sz w:val="20"/>
          <w:szCs w:val="20"/>
        </w:rPr>
        <w:t>for a Test Drive: Means-Testing Real Chapter 7 Debtors</w:t>
      </w:r>
      <w:r w:rsidRPr="00600841">
        <w:rPr>
          <w:rFonts w:ascii="Times New Roman" w:hAnsi="Times New Roman"/>
          <w:sz w:val="20"/>
          <w:szCs w:val="20"/>
        </w:rPr>
        <w:t xml:space="preserve">, 7 AM. </w:t>
      </w:r>
      <w:proofErr w:type="gramStart"/>
      <w:r w:rsidRPr="00600841">
        <w:rPr>
          <w:rFonts w:ascii="Times New Roman" w:hAnsi="Times New Roman"/>
          <w:sz w:val="20"/>
          <w:szCs w:val="20"/>
        </w:rPr>
        <w:t>BANKR.</w:t>
      </w:r>
      <w:proofErr w:type="gramEnd"/>
      <w:r w:rsidRPr="00600841">
        <w:rPr>
          <w:rFonts w:ascii="Times New Roman" w:hAnsi="Times New Roman"/>
          <w:sz w:val="20"/>
          <w:szCs w:val="20"/>
        </w:rPr>
        <w:t xml:space="preserve"> INST. L. REV. 27, 37–38 (1999);</w:t>
      </w:r>
      <w:r w:rsidRPr="00600841">
        <w:rPr>
          <w:rFonts w:ascii="Times New Roman" w:hAnsi="Times New Roman"/>
          <w:i/>
          <w:iCs/>
          <w:sz w:val="20"/>
          <w:szCs w:val="20"/>
        </w:rPr>
        <w:t xml:space="preserve"> </w:t>
      </w:r>
      <w:r w:rsidRPr="00600841">
        <w:rPr>
          <w:rFonts w:ascii="Times New Roman" w:hAnsi="Times New Roman"/>
          <w:sz w:val="20"/>
          <w:szCs w:val="20"/>
        </w:rPr>
        <w:t xml:space="preserve">Ed Flynn &amp; Gordon </w:t>
      </w:r>
      <w:proofErr w:type="spellStart"/>
      <w:r w:rsidRPr="00600841">
        <w:rPr>
          <w:rFonts w:ascii="Times New Roman" w:hAnsi="Times New Roman"/>
          <w:sz w:val="20"/>
          <w:szCs w:val="20"/>
        </w:rPr>
        <w:t>Bermant</w:t>
      </w:r>
      <w:proofErr w:type="spellEnd"/>
      <w:r w:rsidRPr="00600841">
        <w:rPr>
          <w:rFonts w:ascii="Times New Roman" w:hAnsi="Times New Roman"/>
          <w:sz w:val="20"/>
          <w:szCs w:val="20"/>
        </w:rPr>
        <w:t xml:space="preserve">, </w:t>
      </w:r>
      <w:r w:rsidRPr="00600841">
        <w:rPr>
          <w:rFonts w:ascii="Times New Roman" w:hAnsi="Times New Roman"/>
          <w:i/>
          <w:iCs/>
          <w:sz w:val="20"/>
          <w:szCs w:val="20"/>
        </w:rPr>
        <w:t>Bankruptcy by the Numbers: Chapter 7 Asset Cases</w:t>
      </w:r>
      <w:r w:rsidRPr="00600841">
        <w:rPr>
          <w:rFonts w:ascii="Times New Roman" w:hAnsi="Times New Roman"/>
          <w:sz w:val="20"/>
          <w:szCs w:val="20"/>
        </w:rPr>
        <w:t>, AM.</w:t>
      </w:r>
      <w:r>
        <w:rPr>
          <w:rFonts w:ascii="Times New Roman" w:hAnsi="Times New Roman"/>
          <w:sz w:val="20"/>
          <w:szCs w:val="20"/>
        </w:rPr>
        <w:t xml:space="preserve"> </w:t>
      </w:r>
      <w:proofErr w:type="gramStart"/>
      <w:r w:rsidRPr="00600841">
        <w:rPr>
          <w:rFonts w:ascii="Times New Roman" w:hAnsi="Times New Roman"/>
          <w:sz w:val="20"/>
          <w:szCs w:val="20"/>
        </w:rPr>
        <w:t>BANKR.</w:t>
      </w:r>
      <w:proofErr w:type="gramEnd"/>
      <w:r w:rsidRPr="00600841">
        <w:rPr>
          <w:rFonts w:ascii="Times New Roman" w:hAnsi="Times New Roman"/>
          <w:sz w:val="20"/>
          <w:szCs w:val="20"/>
        </w:rPr>
        <w:t xml:space="preserve"> INST. J., Dec. 2002–Jan. 2003</w:t>
      </w:r>
    </w:p>
  </w:footnote>
  <w:footnote w:id="2">
    <w:p w:rsidR="00810FE2" w:rsidRDefault="00810FE2" w:rsidP="00345274">
      <w:pPr>
        <w:pStyle w:val="FootnoteText"/>
      </w:pPr>
      <w:r>
        <w:rPr>
          <w:rStyle w:val="FootnoteReference"/>
        </w:rPr>
        <w:footnoteRef/>
      </w:r>
      <w:r>
        <w:t xml:space="preserve"> </w:t>
      </w:r>
      <w:r w:rsidRPr="00776682">
        <w:t>http://weber.ucsd.edu/~miwhite/UIll-law-review--final.pdf</w:t>
      </w:r>
    </w:p>
  </w:footnote>
  <w:footnote w:id="3">
    <w:p w:rsidR="00810FE2" w:rsidRPr="005917C1" w:rsidRDefault="00810FE2" w:rsidP="0024155D">
      <w:pPr>
        <w:autoSpaceDE w:val="0"/>
        <w:autoSpaceDN w:val="0"/>
        <w:adjustRightInd w:val="0"/>
        <w:spacing w:after="0" w:line="240" w:lineRule="auto"/>
        <w:rPr>
          <w:rFonts w:ascii="Times New Roman" w:hAnsi="Times New Roman"/>
          <w:sz w:val="20"/>
          <w:szCs w:val="20"/>
        </w:rPr>
      </w:pPr>
      <w:r>
        <w:rPr>
          <w:rStyle w:val="FootnoteReference"/>
        </w:rPr>
        <w:footnoteRef/>
      </w:r>
      <w:r>
        <w:t xml:space="preserve"> </w:t>
      </w:r>
      <w:r w:rsidRPr="00600841">
        <w:rPr>
          <w:rFonts w:ascii="Times New Roman" w:hAnsi="Times New Roman"/>
          <w:sz w:val="20"/>
          <w:szCs w:val="20"/>
        </w:rPr>
        <w:t xml:space="preserve">Marianne B. </w:t>
      </w:r>
      <w:proofErr w:type="spellStart"/>
      <w:r w:rsidRPr="00600841">
        <w:rPr>
          <w:rFonts w:ascii="Times New Roman" w:hAnsi="Times New Roman"/>
          <w:sz w:val="20"/>
          <w:szCs w:val="20"/>
        </w:rPr>
        <w:t>Culhane</w:t>
      </w:r>
      <w:proofErr w:type="spellEnd"/>
      <w:r w:rsidRPr="00600841">
        <w:rPr>
          <w:rFonts w:ascii="Times New Roman" w:hAnsi="Times New Roman"/>
          <w:sz w:val="20"/>
          <w:szCs w:val="20"/>
        </w:rPr>
        <w:t xml:space="preserve"> &amp; Michaela M. White, </w:t>
      </w:r>
      <w:r w:rsidRPr="00600841">
        <w:rPr>
          <w:rFonts w:ascii="Times New Roman" w:hAnsi="Times New Roman"/>
          <w:i/>
          <w:iCs/>
          <w:sz w:val="20"/>
          <w:szCs w:val="20"/>
        </w:rPr>
        <w:t>Taking the New Consumer Bankruptcy Model</w:t>
      </w:r>
      <w:r>
        <w:rPr>
          <w:rFonts w:ascii="Times New Roman" w:hAnsi="Times New Roman"/>
          <w:i/>
          <w:iCs/>
          <w:sz w:val="20"/>
          <w:szCs w:val="20"/>
        </w:rPr>
        <w:t xml:space="preserve"> </w:t>
      </w:r>
      <w:r w:rsidRPr="00600841">
        <w:rPr>
          <w:rFonts w:ascii="Times New Roman" w:hAnsi="Times New Roman"/>
          <w:i/>
          <w:iCs/>
          <w:sz w:val="20"/>
          <w:szCs w:val="20"/>
        </w:rPr>
        <w:t>for a Test Drive: Means-Testing Real Chapter 7 Debtors</w:t>
      </w:r>
      <w:r w:rsidRPr="00600841">
        <w:rPr>
          <w:rFonts w:ascii="Times New Roman" w:hAnsi="Times New Roman"/>
          <w:sz w:val="20"/>
          <w:szCs w:val="20"/>
        </w:rPr>
        <w:t xml:space="preserve">, 7 AM. </w:t>
      </w:r>
      <w:proofErr w:type="gramStart"/>
      <w:r w:rsidRPr="00600841">
        <w:rPr>
          <w:rFonts w:ascii="Times New Roman" w:hAnsi="Times New Roman"/>
          <w:sz w:val="20"/>
          <w:szCs w:val="20"/>
        </w:rPr>
        <w:t>BANKR.</w:t>
      </w:r>
      <w:proofErr w:type="gramEnd"/>
      <w:r w:rsidRPr="00600841">
        <w:rPr>
          <w:rFonts w:ascii="Times New Roman" w:hAnsi="Times New Roman"/>
          <w:sz w:val="20"/>
          <w:szCs w:val="20"/>
        </w:rPr>
        <w:t xml:space="preserve"> INST. L. REV. 27, 37–38 (1999);</w:t>
      </w:r>
      <w:r w:rsidRPr="00600841">
        <w:rPr>
          <w:rFonts w:ascii="Times New Roman" w:hAnsi="Times New Roman"/>
          <w:i/>
          <w:iCs/>
          <w:sz w:val="20"/>
          <w:szCs w:val="20"/>
        </w:rPr>
        <w:t xml:space="preserve"> </w:t>
      </w:r>
      <w:r w:rsidRPr="00600841">
        <w:rPr>
          <w:rFonts w:ascii="Times New Roman" w:hAnsi="Times New Roman"/>
          <w:sz w:val="20"/>
          <w:szCs w:val="20"/>
        </w:rPr>
        <w:t xml:space="preserve">Ed Flynn &amp; Gordon </w:t>
      </w:r>
      <w:proofErr w:type="spellStart"/>
      <w:r w:rsidRPr="00600841">
        <w:rPr>
          <w:rFonts w:ascii="Times New Roman" w:hAnsi="Times New Roman"/>
          <w:sz w:val="20"/>
          <w:szCs w:val="20"/>
        </w:rPr>
        <w:t>Bermant</w:t>
      </w:r>
      <w:proofErr w:type="spellEnd"/>
      <w:r w:rsidRPr="00600841">
        <w:rPr>
          <w:rFonts w:ascii="Times New Roman" w:hAnsi="Times New Roman"/>
          <w:sz w:val="20"/>
          <w:szCs w:val="20"/>
        </w:rPr>
        <w:t xml:space="preserve">, </w:t>
      </w:r>
      <w:r w:rsidRPr="00600841">
        <w:rPr>
          <w:rFonts w:ascii="Times New Roman" w:hAnsi="Times New Roman"/>
          <w:i/>
          <w:iCs/>
          <w:sz w:val="20"/>
          <w:szCs w:val="20"/>
        </w:rPr>
        <w:t>Bankruptcy by the Numbers: Chapter 7 Asset Cases</w:t>
      </w:r>
      <w:r w:rsidRPr="00600841">
        <w:rPr>
          <w:rFonts w:ascii="Times New Roman" w:hAnsi="Times New Roman"/>
          <w:sz w:val="20"/>
          <w:szCs w:val="20"/>
        </w:rPr>
        <w:t>, AM.</w:t>
      </w:r>
      <w:r>
        <w:rPr>
          <w:rFonts w:ascii="Times New Roman" w:hAnsi="Times New Roman"/>
          <w:sz w:val="20"/>
          <w:szCs w:val="20"/>
        </w:rPr>
        <w:t xml:space="preserve"> </w:t>
      </w:r>
      <w:proofErr w:type="gramStart"/>
      <w:r w:rsidRPr="00600841">
        <w:rPr>
          <w:rFonts w:ascii="Times New Roman" w:hAnsi="Times New Roman"/>
          <w:sz w:val="20"/>
          <w:szCs w:val="20"/>
        </w:rPr>
        <w:t>BANKR.</w:t>
      </w:r>
      <w:proofErr w:type="gramEnd"/>
      <w:r w:rsidRPr="00600841">
        <w:rPr>
          <w:rFonts w:ascii="Times New Roman" w:hAnsi="Times New Roman"/>
          <w:sz w:val="20"/>
          <w:szCs w:val="20"/>
        </w:rPr>
        <w:t xml:space="preserve"> INST. J., Dec. 2002–Jan. 2003</w:t>
      </w:r>
    </w:p>
  </w:footnote>
  <w:footnote w:id="4">
    <w:p w:rsidR="00810FE2" w:rsidRDefault="00810FE2" w:rsidP="0024155D">
      <w:pPr>
        <w:pStyle w:val="FootnoteText"/>
      </w:pPr>
      <w:r>
        <w:rPr>
          <w:rStyle w:val="FootnoteReference"/>
        </w:rPr>
        <w:footnoteRef/>
      </w:r>
      <w:r>
        <w:t xml:space="preserve"> </w:t>
      </w:r>
      <w:r w:rsidRPr="00776682">
        <w:t>http://weber.ucsd.edu/~miwhite/UIll-law-review--final.pdf</w:t>
      </w:r>
    </w:p>
  </w:footnote>
  <w:footnote w:id="5">
    <w:p w:rsidR="00810FE2" w:rsidRPr="00D4375A" w:rsidRDefault="00810FE2" w:rsidP="0002184A">
      <w:pPr>
        <w:autoSpaceDE w:val="0"/>
        <w:autoSpaceDN w:val="0"/>
        <w:adjustRightInd w:val="0"/>
        <w:spacing w:after="0" w:line="240" w:lineRule="auto"/>
        <w:rPr>
          <w:rFonts w:ascii="Times New Roman" w:hAnsi="Times New Roman"/>
          <w:sz w:val="20"/>
          <w:szCs w:val="20"/>
        </w:rPr>
      </w:pPr>
      <w:r>
        <w:rPr>
          <w:rStyle w:val="FootnoteReference"/>
        </w:rPr>
        <w:footnoteRef/>
      </w:r>
      <w:r>
        <w:t xml:space="preserve"> </w:t>
      </w:r>
      <w:r w:rsidRPr="00D4375A">
        <w:rPr>
          <w:rFonts w:ascii="Times New Roman" w:hAnsi="Times New Roman"/>
          <w:sz w:val="20"/>
          <w:szCs w:val="20"/>
        </w:rPr>
        <w:t xml:space="preserve">Stewart E. </w:t>
      </w:r>
      <w:proofErr w:type="spellStart"/>
      <w:r w:rsidRPr="00D4375A">
        <w:rPr>
          <w:rFonts w:ascii="Times New Roman" w:hAnsi="Times New Roman"/>
          <w:sz w:val="20"/>
          <w:szCs w:val="20"/>
        </w:rPr>
        <w:t>Sterk</w:t>
      </w:r>
      <w:proofErr w:type="spellEnd"/>
      <w:r w:rsidRPr="00D4375A">
        <w:rPr>
          <w:rFonts w:ascii="Times New Roman" w:hAnsi="Times New Roman"/>
          <w:sz w:val="20"/>
          <w:szCs w:val="20"/>
        </w:rPr>
        <w:t xml:space="preserve">, </w:t>
      </w:r>
      <w:r w:rsidRPr="00D4375A">
        <w:rPr>
          <w:rFonts w:ascii="Times New Roman" w:hAnsi="Times New Roman"/>
          <w:i/>
          <w:iCs/>
          <w:sz w:val="20"/>
          <w:szCs w:val="20"/>
        </w:rPr>
        <w:t xml:space="preserve">Asset Protection Trusts: Trust Law’s Race to </w:t>
      </w:r>
      <w:proofErr w:type="gramStart"/>
      <w:r w:rsidRPr="00D4375A">
        <w:rPr>
          <w:rFonts w:ascii="Times New Roman" w:hAnsi="Times New Roman"/>
          <w:i/>
          <w:iCs/>
          <w:sz w:val="20"/>
          <w:szCs w:val="20"/>
        </w:rPr>
        <w:t>the  Bottom</w:t>
      </w:r>
      <w:proofErr w:type="gramEnd"/>
      <w:r w:rsidRPr="00D4375A">
        <w:rPr>
          <w:rFonts w:ascii="Times New Roman" w:hAnsi="Times New Roman"/>
          <w:i/>
          <w:iCs/>
          <w:sz w:val="20"/>
          <w:szCs w:val="20"/>
        </w:rPr>
        <w:t>?</w:t>
      </w:r>
      <w:r w:rsidRPr="00D4375A">
        <w:rPr>
          <w:rFonts w:ascii="Times New Roman" w:hAnsi="Times New Roman"/>
          <w:sz w:val="20"/>
          <w:szCs w:val="20"/>
        </w:rPr>
        <w:t>, 85 CORNELL L. REV. 1035, 1036 (2000).</w:t>
      </w:r>
    </w:p>
  </w:footnote>
  <w:footnote w:id="6">
    <w:p w:rsidR="00810FE2" w:rsidRPr="009F375C" w:rsidRDefault="00810FE2" w:rsidP="0002184A">
      <w:pPr>
        <w:autoSpaceDE w:val="0"/>
        <w:autoSpaceDN w:val="0"/>
        <w:adjustRightInd w:val="0"/>
        <w:spacing w:after="0" w:line="240" w:lineRule="auto"/>
        <w:rPr>
          <w:rFonts w:ascii="Times New Roman" w:hAnsi="Times New Roman"/>
          <w:sz w:val="20"/>
          <w:szCs w:val="20"/>
        </w:rPr>
      </w:pPr>
      <w:r>
        <w:rPr>
          <w:rStyle w:val="FootnoteReference"/>
        </w:rPr>
        <w:footnoteRef/>
      </w:r>
      <w:r>
        <w:t xml:space="preserve"> </w:t>
      </w:r>
      <w:r w:rsidRPr="009F375C">
        <w:rPr>
          <w:rFonts w:ascii="Times New Roman" w:hAnsi="Times New Roman"/>
          <w:sz w:val="20"/>
          <w:szCs w:val="20"/>
        </w:rPr>
        <w:t xml:space="preserve">Michelle J. White, </w:t>
      </w:r>
      <w:r w:rsidRPr="009F375C">
        <w:rPr>
          <w:rFonts w:ascii="Times New Roman" w:hAnsi="Times New Roman"/>
          <w:i/>
          <w:iCs/>
          <w:sz w:val="20"/>
          <w:szCs w:val="20"/>
        </w:rPr>
        <w:t xml:space="preserve">Personal Bankruptcy </w:t>
      </w:r>
      <w:proofErr w:type="gramStart"/>
      <w:r w:rsidRPr="009F375C">
        <w:rPr>
          <w:rFonts w:ascii="Times New Roman" w:hAnsi="Times New Roman"/>
          <w:i/>
          <w:iCs/>
          <w:sz w:val="20"/>
          <w:szCs w:val="20"/>
        </w:rPr>
        <w:t>Under the 1978 Bankruptcy Code: An</w:t>
      </w:r>
      <w:proofErr w:type="gramEnd"/>
      <w:r w:rsidRPr="009F375C">
        <w:rPr>
          <w:rFonts w:ascii="Times New Roman" w:hAnsi="Times New Roman"/>
          <w:i/>
          <w:iCs/>
          <w:sz w:val="20"/>
          <w:szCs w:val="20"/>
        </w:rPr>
        <w:t xml:space="preserve"> Economic</w:t>
      </w:r>
      <w:r>
        <w:rPr>
          <w:rFonts w:ascii="Times New Roman" w:hAnsi="Times New Roman"/>
          <w:i/>
          <w:iCs/>
          <w:sz w:val="20"/>
          <w:szCs w:val="20"/>
        </w:rPr>
        <w:t xml:space="preserve"> </w:t>
      </w:r>
      <w:r w:rsidRPr="009F375C">
        <w:rPr>
          <w:rFonts w:ascii="Times New Roman" w:hAnsi="Times New Roman"/>
          <w:i/>
          <w:iCs/>
          <w:sz w:val="20"/>
          <w:szCs w:val="20"/>
        </w:rPr>
        <w:t>Analysis</w:t>
      </w:r>
      <w:r w:rsidRPr="009F375C">
        <w:rPr>
          <w:rFonts w:ascii="Times New Roman" w:hAnsi="Times New Roman"/>
          <w:sz w:val="20"/>
          <w:szCs w:val="20"/>
        </w:rPr>
        <w:t>, 63 IND. L.J. 1, 45–46 (1987) (discussing data indicating that an increase in the bankruptcy</w:t>
      </w:r>
      <w:r>
        <w:rPr>
          <w:rFonts w:ascii="Times New Roman" w:hAnsi="Times New Roman"/>
          <w:sz w:val="20"/>
          <w:szCs w:val="20"/>
        </w:rPr>
        <w:t xml:space="preserve"> </w:t>
      </w:r>
      <w:r w:rsidRPr="009F375C">
        <w:rPr>
          <w:rFonts w:ascii="Times New Roman" w:hAnsi="Times New Roman"/>
          <w:sz w:val="20"/>
          <w:szCs w:val="20"/>
        </w:rPr>
        <w:t xml:space="preserve">exemption level </w:t>
      </w:r>
      <w:r>
        <w:rPr>
          <w:rFonts w:ascii="Times New Roman" w:hAnsi="Times New Roman"/>
          <w:sz w:val="20"/>
          <w:szCs w:val="20"/>
        </w:rPr>
        <w:t>c</w:t>
      </w:r>
      <w:r w:rsidRPr="009F375C">
        <w:rPr>
          <w:rFonts w:ascii="Times New Roman" w:hAnsi="Times New Roman"/>
          <w:sz w:val="20"/>
          <w:szCs w:val="20"/>
        </w:rPr>
        <w:t>orresponds with an increased bankruptcy filing rate).</w:t>
      </w:r>
    </w:p>
  </w:footnote>
  <w:footnote w:id="7">
    <w:p w:rsidR="00810FE2" w:rsidRDefault="00810FE2" w:rsidP="0002184A">
      <w:pPr>
        <w:autoSpaceDE w:val="0"/>
        <w:autoSpaceDN w:val="0"/>
        <w:adjustRightInd w:val="0"/>
        <w:spacing w:after="0" w:line="240" w:lineRule="auto"/>
        <w:jc w:val="both"/>
      </w:pPr>
      <w:r>
        <w:rPr>
          <w:rStyle w:val="FootnoteReference"/>
        </w:rPr>
        <w:footnoteRef/>
      </w:r>
      <w:r>
        <w:t xml:space="preserve"> </w:t>
      </w:r>
      <w:proofErr w:type="spellStart"/>
      <w:proofErr w:type="gramStart"/>
      <w:r w:rsidRPr="004902EB">
        <w:rPr>
          <w:rFonts w:ascii="Times New Roman" w:hAnsi="Times New Roman"/>
          <w:sz w:val="20"/>
          <w:szCs w:val="20"/>
        </w:rPr>
        <w:t>Reint</w:t>
      </w:r>
      <w:proofErr w:type="spellEnd"/>
      <w:r w:rsidRPr="004902EB">
        <w:rPr>
          <w:rFonts w:ascii="Times New Roman" w:hAnsi="Times New Roman"/>
          <w:sz w:val="20"/>
          <w:szCs w:val="20"/>
        </w:rPr>
        <w:t xml:space="preserve"> </w:t>
      </w:r>
      <w:proofErr w:type="spellStart"/>
      <w:r w:rsidRPr="004902EB">
        <w:rPr>
          <w:rFonts w:ascii="Times New Roman" w:hAnsi="Times New Roman"/>
          <w:sz w:val="20"/>
          <w:szCs w:val="20"/>
        </w:rPr>
        <w:t>Gropp</w:t>
      </w:r>
      <w:proofErr w:type="spellEnd"/>
      <w:r w:rsidRPr="004902EB">
        <w:rPr>
          <w:rFonts w:ascii="Times New Roman" w:hAnsi="Times New Roman"/>
          <w:sz w:val="20"/>
          <w:szCs w:val="20"/>
        </w:rPr>
        <w:t xml:space="preserve">, John Karl </w:t>
      </w:r>
      <w:proofErr w:type="spellStart"/>
      <w:r w:rsidRPr="004902EB">
        <w:rPr>
          <w:rFonts w:ascii="Times New Roman" w:hAnsi="Times New Roman"/>
          <w:sz w:val="20"/>
          <w:szCs w:val="20"/>
        </w:rPr>
        <w:t>Scholz</w:t>
      </w:r>
      <w:proofErr w:type="spellEnd"/>
      <w:r w:rsidRPr="004902EB">
        <w:rPr>
          <w:rFonts w:ascii="Times New Roman" w:hAnsi="Times New Roman"/>
          <w:sz w:val="20"/>
          <w:szCs w:val="20"/>
        </w:rPr>
        <w:t xml:space="preserve">, &amp; Michelle J. White, </w:t>
      </w:r>
      <w:r w:rsidRPr="004902EB">
        <w:rPr>
          <w:rFonts w:ascii="Times New Roman" w:hAnsi="Times New Roman"/>
          <w:i/>
          <w:iCs/>
          <w:sz w:val="20"/>
          <w:szCs w:val="20"/>
        </w:rPr>
        <w:t>Personal Bankruptcy and Credit Supply</w:t>
      </w:r>
      <w:r>
        <w:rPr>
          <w:rFonts w:ascii="Times New Roman" w:hAnsi="Times New Roman"/>
          <w:i/>
          <w:iCs/>
          <w:sz w:val="20"/>
          <w:szCs w:val="20"/>
        </w:rPr>
        <w:t xml:space="preserve"> </w:t>
      </w:r>
      <w:r w:rsidRPr="004902EB">
        <w:rPr>
          <w:rFonts w:ascii="Times New Roman" w:hAnsi="Times New Roman"/>
          <w:i/>
          <w:iCs/>
          <w:sz w:val="20"/>
          <w:szCs w:val="20"/>
        </w:rPr>
        <w:t>and Demand</w:t>
      </w:r>
      <w:r w:rsidRPr="004902EB">
        <w:rPr>
          <w:rFonts w:ascii="Times New Roman" w:hAnsi="Times New Roman"/>
          <w:sz w:val="20"/>
          <w:szCs w:val="20"/>
        </w:rPr>
        <w:t>, 112 Q.J. ECON.</w:t>
      </w:r>
      <w:proofErr w:type="gramEnd"/>
      <w:r w:rsidRPr="004902EB">
        <w:rPr>
          <w:rFonts w:ascii="Times New Roman" w:hAnsi="Times New Roman"/>
          <w:sz w:val="20"/>
          <w:szCs w:val="20"/>
        </w:rPr>
        <w:t xml:space="preserve"> 217 (1997) (showing that higher exemption levels result in higher interest</w:t>
      </w:r>
      <w:r>
        <w:rPr>
          <w:rFonts w:ascii="Times New Roman" w:hAnsi="Times New Roman"/>
          <w:sz w:val="20"/>
          <w:szCs w:val="20"/>
        </w:rPr>
        <w:t xml:space="preserve"> </w:t>
      </w:r>
      <w:r w:rsidRPr="004902EB">
        <w:rPr>
          <w:rFonts w:ascii="Times New Roman" w:hAnsi="Times New Roman"/>
          <w:sz w:val="20"/>
          <w:szCs w:val="20"/>
        </w:rPr>
        <w:t>rates).</w:t>
      </w:r>
    </w:p>
  </w:footnote>
  <w:footnote w:id="8">
    <w:p w:rsidR="00810FE2" w:rsidRPr="00AE2617" w:rsidRDefault="00810FE2" w:rsidP="0002184A">
      <w:pPr>
        <w:autoSpaceDE w:val="0"/>
        <w:autoSpaceDN w:val="0"/>
        <w:adjustRightInd w:val="0"/>
        <w:spacing w:after="0" w:line="240" w:lineRule="auto"/>
        <w:jc w:val="both"/>
        <w:rPr>
          <w:rFonts w:ascii="Times New Roman" w:hAnsi="Times New Roman"/>
          <w:sz w:val="20"/>
          <w:szCs w:val="20"/>
        </w:rPr>
      </w:pPr>
      <w:r>
        <w:rPr>
          <w:rStyle w:val="FootnoteReference"/>
        </w:rPr>
        <w:footnoteRef/>
      </w:r>
      <w:r>
        <w:t xml:space="preserve"> </w:t>
      </w:r>
      <w:r w:rsidRPr="00AE2617">
        <w:rPr>
          <w:rFonts w:ascii="Times New Roman" w:hAnsi="Times New Roman"/>
          <w:sz w:val="20"/>
          <w:szCs w:val="20"/>
        </w:rPr>
        <w:t xml:space="preserve">The optimal exemption levels in bankruptcy are determined by trading off debtors’ gain from having additional consumption insurance and better work incentives when exemption levels are higher against their losses from higher interest rates and reduced access to credit. For a formal model and simulations, see Michelle J. White, Personal Bankruptcy: Insurance, Work Effort, Opportunism and the Efficiency of the “Fresh Start,” (May 2005) (unpublished manuscript, on file with author), </w:t>
      </w:r>
      <w:r w:rsidRPr="00AE2617">
        <w:rPr>
          <w:rFonts w:ascii="Times New Roman" w:hAnsi="Times New Roman"/>
          <w:i/>
          <w:iCs/>
          <w:sz w:val="20"/>
          <w:szCs w:val="20"/>
        </w:rPr>
        <w:t xml:space="preserve">available at </w:t>
      </w:r>
      <w:r w:rsidRPr="00AE2617">
        <w:rPr>
          <w:rFonts w:ascii="Times New Roman" w:hAnsi="Times New Roman"/>
          <w:sz w:val="20"/>
          <w:szCs w:val="20"/>
        </w:rPr>
        <w:t>http://www.econ.ucsd.edu/~miwhite/bankruptcy-theory-white.pdf, and Hung-Jen Wang &amp;</w:t>
      </w:r>
      <w:r>
        <w:rPr>
          <w:rFonts w:ascii="Times New Roman" w:hAnsi="Times New Roman"/>
          <w:sz w:val="20"/>
          <w:szCs w:val="20"/>
        </w:rPr>
        <w:t xml:space="preserve"> </w:t>
      </w:r>
      <w:r w:rsidRPr="00AE2617">
        <w:rPr>
          <w:rFonts w:ascii="Times New Roman" w:hAnsi="Times New Roman"/>
          <w:sz w:val="20"/>
          <w:szCs w:val="20"/>
        </w:rPr>
        <w:t xml:space="preserve">Michelle J. White, </w:t>
      </w:r>
      <w:r w:rsidRPr="00AE2617">
        <w:rPr>
          <w:rFonts w:ascii="Times New Roman" w:hAnsi="Times New Roman"/>
          <w:i/>
          <w:iCs/>
          <w:sz w:val="20"/>
          <w:szCs w:val="20"/>
        </w:rPr>
        <w:t>An Optimal Personal Bankruptcy Procedure and Proposed Reforms</w:t>
      </w:r>
      <w:r w:rsidRPr="00AE2617">
        <w:rPr>
          <w:rFonts w:ascii="Times New Roman" w:hAnsi="Times New Roman"/>
          <w:sz w:val="20"/>
          <w:szCs w:val="20"/>
        </w:rPr>
        <w:t xml:space="preserve">, 29 J. LEGAL STUD. </w:t>
      </w:r>
      <w:proofErr w:type="gramStart"/>
      <w:r w:rsidRPr="00AE2617">
        <w:rPr>
          <w:rFonts w:ascii="Times New Roman" w:hAnsi="Times New Roman"/>
          <w:sz w:val="20"/>
          <w:szCs w:val="20"/>
        </w:rPr>
        <w:t>255, 265 (2000).</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17DB"/>
    <w:multiLevelType w:val="hybridMultilevel"/>
    <w:tmpl w:val="7840B63A"/>
    <w:lvl w:ilvl="0" w:tplc="52366488">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45665"/>
    <w:multiLevelType w:val="hybridMultilevel"/>
    <w:tmpl w:val="DB34FD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365EEA"/>
    <w:multiLevelType w:val="hybridMultilevel"/>
    <w:tmpl w:val="479ED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E3281"/>
    <w:rsid w:val="0002184A"/>
    <w:rsid w:val="001A6611"/>
    <w:rsid w:val="0024155D"/>
    <w:rsid w:val="002A1B74"/>
    <w:rsid w:val="002A7808"/>
    <w:rsid w:val="002B1E5C"/>
    <w:rsid w:val="002C13A1"/>
    <w:rsid w:val="00345274"/>
    <w:rsid w:val="003B48C0"/>
    <w:rsid w:val="003D0CBB"/>
    <w:rsid w:val="005E3281"/>
    <w:rsid w:val="00810FE2"/>
    <w:rsid w:val="008B2EA0"/>
    <w:rsid w:val="00A125D7"/>
    <w:rsid w:val="00A339C3"/>
    <w:rsid w:val="00AE4D03"/>
    <w:rsid w:val="00B26CCF"/>
    <w:rsid w:val="00C701B0"/>
    <w:rsid w:val="00CD7E29"/>
    <w:rsid w:val="00DD7F7E"/>
    <w:rsid w:val="00E663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EA0"/>
    <w:pPr>
      <w:ind w:left="720"/>
      <w:contextualSpacing/>
    </w:pPr>
  </w:style>
  <w:style w:type="paragraph" w:styleId="FootnoteText">
    <w:name w:val="footnote text"/>
    <w:basedOn w:val="Normal"/>
    <w:link w:val="FootnoteTextChar"/>
    <w:semiHidden/>
    <w:rsid w:val="0034527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45274"/>
    <w:rPr>
      <w:rFonts w:ascii="Times New Roman" w:eastAsia="Times New Roman" w:hAnsi="Times New Roman" w:cs="Times New Roman"/>
      <w:sz w:val="20"/>
      <w:szCs w:val="20"/>
    </w:rPr>
  </w:style>
  <w:style w:type="character" w:styleId="FootnoteReference">
    <w:name w:val="footnote reference"/>
    <w:basedOn w:val="DefaultParagraphFont"/>
    <w:semiHidden/>
    <w:rsid w:val="00345274"/>
    <w:rPr>
      <w:vertAlign w:val="superscript"/>
    </w:rPr>
  </w:style>
  <w:style w:type="paragraph" w:styleId="NormalWeb">
    <w:name w:val="Normal (Web)"/>
    <w:basedOn w:val="Normal"/>
    <w:uiPriority w:val="99"/>
    <w:unhideWhenUsed/>
    <w:rsid w:val="003452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1978</Words>
  <Characters>11276</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AEI</Company>
  <LinksUpToDate>false</LinksUpToDate>
  <CharactersWithSpaces>13228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Amathur</dc:creator>
  <cp:lastModifiedBy>Windows User</cp:lastModifiedBy>
  <cp:revision>2</cp:revision>
  <dcterms:created xsi:type="dcterms:W3CDTF">2009-10-29T20:05:00Z</dcterms:created>
  <dcterms:modified xsi:type="dcterms:W3CDTF">2009-10-29T20:05:00Z</dcterms:modified>
</cp:coreProperties>
</file>