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3C6" w:rsidRPr="005353C6" w:rsidRDefault="005353C6" w:rsidP="005353C6">
      <w:pPr>
        <w:spacing w:line="240" w:lineRule="auto"/>
        <w:jc w:val="center"/>
        <w:rPr>
          <w:rFonts w:ascii="Times New Roman" w:hAnsi="Times New Roman" w:cs="Times New Roman"/>
          <w:b/>
          <w:sz w:val="24"/>
          <w:szCs w:val="24"/>
          <w:u w:val="single"/>
        </w:rPr>
      </w:pPr>
      <w:r w:rsidRPr="005353C6">
        <w:rPr>
          <w:rFonts w:ascii="Times New Roman" w:hAnsi="Times New Roman" w:cs="Times New Roman"/>
          <w:b/>
          <w:sz w:val="24"/>
          <w:szCs w:val="24"/>
          <w:u w:val="single"/>
        </w:rPr>
        <w:t>“Cartel Prosecution: Stopping Price Fixers and Protecting Consumers”</w:t>
      </w:r>
    </w:p>
    <w:p w:rsidR="005353C6" w:rsidRPr="005353C6" w:rsidRDefault="005353C6" w:rsidP="005353C6">
      <w:pPr>
        <w:spacing w:line="240" w:lineRule="auto"/>
        <w:jc w:val="center"/>
        <w:rPr>
          <w:rFonts w:ascii="Times New Roman" w:hAnsi="Times New Roman" w:cs="Times New Roman"/>
          <w:sz w:val="24"/>
          <w:szCs w:val="24"/>
        </w:rPr>
      </w:pPr>
      <w:r w:rsidRPr="005353C6">
        <w:rPr>
          <w:rFonts w:ascii="Times New Roman" w:hAnsi="Times New Roman" w:cs="Times New Roman"/>
          <w:b/>
          <w:sz w:val="24"/>
          <w:szCs w:val="24"/>
          <w:u w:val="single"/>
        </w:rPr>
        <w:t xml:space="preserve">Senator </w:t>
      </w:r>
      <w:proofErr w:type="spellStart"/>
      <w:r w:rsidRPr="005353C6">
        <w:rPr>
          <w:rFonts w:ascii="Times New Roman" w:hAnsi="Times New Roman" w:cs="Times New Roman"/>
          <w:b/>
          <w:sz w:val="24"/>
          <w:szCs w:val="24"/>
          <w:u w:val="single"/>
        </w:rPr>
        <w:t>Klobuchar’s</w:t>
      </w:r>
      <w:proofErr w:type="spellEnd"/>
      <w:r w:rsidRPr="005353C6">
        <w:rPr>
          <w:rFonts w:ascii="Times New Roman" w:hAnsi="Times New Roman" w:cs="Times New Roman"/>
          <w:b/>
          <w:sz w:val="24"/>
          <w:szCs w:val="24"/>
          <w:u w:val="single"/>
        </w:rPr>
        <w:t xml:space="preserve"> QFRs for Margaret </w:t>
      </w:r>
      <w:proofErr w:type="spellStart"/>
      <w:r w:rsidRPr="005353C6">
        <w:rPr>
          <w:rFonts w:ascii="Times New Roman" w:hAnsi="Times New Roman" w:cs="Times New Roman"/>
          <w:b/>
          <w:sz w:val="24"/>
          <w:szCs w:val="24"/>
          <w:u w:val="single"/>
        </w:rPr>
        <w:t>Levenstein</w:t>
      </w:r>
      <w:proofErr w:type="spellEnd"/>
    </w:p>
    <w:p w:rsidR="005353C6" w:rsidRPr="005353C6" w:rsidRDefault="005353C6" w:rsidP="005353C6">
      <w:pPr>
        <w:spacing w:line="240" w:lineRule="auto"/>
        <w:rPr>
          <w:rFonts w:ascii="Times New Roman" w:hAnsi="Times New Roman" w:cs="Times New Roman"/>
          <w:b/>
          <w:sz w:val="24"/>
          <w:szCs w:val="24"/>
        </w:rPr>
      </w:pPr>
      <w:r w:rsidRPr="005353C6">
        <w:rPr>
          <w:rFonts w:ascii="Times New Roman" w:hAnsi="Times New Roman" w:cs="Times New Roman"/>
          <w:b/>
          <w:sz w:val="24"/>
          <w:szCs w:val="24"/>
        </w:rPr>
        <w:t>QUESTION:</w:t>
      </w:r>
    </w:p>
    <w:p w:rsidR="005353C6" w:rsidRPr="005353C6" w:rsidRDefault="005353C6" w:rsidP="005353C6">
      <w:pPr>
        <w:spacing w:line="240" w:lineRule="auto"/>
        <w:rPr>
          <w:rFonts w:ascii="Times New Roman" w:hAnsi="Times New Roman" w:cs="Times New Roman"/>
          <w:sz w:val="24"/>
          <w:szCs w:val="24"/>
        </w:rPr>
      </w:pPr>
      <w:r w:rsidRPr="005353C6">
        <w:rPr>
          <w:rFonts w:ascii="Times New Roman" w:hAnsi="Times New Roman" w:cs="Times New Roman"/>
          <w:sz w:val="24"/>
          <w:szCs w:val="24"/>
        </w:rPr>
        <w:t>Is there a correlation between cartels and indu</w:t>
      </w:r>
      <w:bookmarkStart w:id="0" w:name="_GoBack"/>
      <w:bookmarkEnd w:id="0"/>
      <w:r w:rsidRPr="005353C6">
        <w:rPr>
          <w:rFonts w:ascii="Times New Roman" w:hAnsi="Times New Roman" w:cs="Times New Roman"/>
          <w:sz w:val="24"/>
          <w:szCs w:val="24"/>
        </w:rPr>
        <w:t>stries that have become more concentrated as a result of mergers?  Should DOJ focus cartel detection resources on more highly concentrated industries?  Can you name a few industries they should focus on?  Should DOJ and FTC’s decisions to approve or reject a merger weigh whether there has been collusive activity?</w:t>
      </w:r>
    </w:p>
    <w:p w:rsidR="005353C6" w:rsidRPr="005353C6" w:rsidRDefault="005353C6" w:rsidP="005353C6">
      <w:pPr>
        <w:spacing w:line="240" w:lineRule="auto"/>
        <w:rPr>
          <w:rFonts w:ascii="Times New Roman" w:hAnsi="Times New Roman" w:cs="Times New Roman"/>
          <w:b/>
          <w:sz w:val="24"/>
          <w:szCs w:val="24"/>
        </w:rPr>
      </w:pPr>
      <w:r w:rsidRPr="005353C6">
        <w:rPr>
          <w:rFonts w:ascii="Times New Roman" w:hAnsi="Times New Roman" w:cs="Times New Roman"/>
          <w:b/>
          <w:sz w:val="24"/>
          <w:szCs w:val="24"/>
        </w:rPr>
        <w:t>RESPONSE:</w:t>
      </w:r>
      <w:r w:rsidRPr="005353C6">
        <w:rPr>
          <w:rFonts w:ascii="Times New Roman" w:hAnsi="Times New Roman" w:cs="Times New Roman"/>
          <w:b/>
          <w:sz w:val="24"/>
          <w:szCs w:val="24"/>
        </w:rPr>
        <w:t xml:space="preserve">   </w:t>
      </w:r>
    </w:p>
    <w:p w:rsidR="004A31D5" w:rsidRPr="005353C6" w:rsidRDefault="004A31D5" w:rsidP="004A31D5">
      <w:pPr>
        <w:pStyle w:val="ListParagraph"/>
        <w:numPr>
          <w:ilvl w:val="0"/>
          <w:numId w:val="1"/>
        </w:numPr>
        <w:rPr>
          <w:rFonts w:ascii="Times New Roman" w:hAnsi="Times New Roman" w:cs="Times New Roman"/>
          <w:sz w:val="24"/>
          <w:szCs w:val="24"/>
        </w:rPr>
      </w:pPr>
      <w:r w:rsidRPr="005353C6">
        <w:rPr>
          <w:rFonts w:ascii="Times New Roman" w:hAnsi="Times New Roman" w:cs="Times New Roman"/>
          <w:sz w:val="24"/>
          <w:szCs w:val="24"/>
        </w:rPr>
        <w:t xml:space="preserve">Most examples of cartels prosecuted in the last two decades were in highly concentrated industries.  Many of these cartels were international in scope and membership, and the global markets were highly concentrated, with four-firm concentration ratios above 75%.  See Levenstein and Suslow (2011). </w:t>
      </w:r>
    </w:p>
    <w:p w:rsidR="004A31D5" w:rsidRPr="005353C6" w:rsidRDefault="004A31D5" w:rsidP="004A31D5">
      <w:pPr>
        <w:pStyle w:val="ListParagraph"/>
        <w:numPr>
          <w:ilvl w:val="0"/>
          <w:numId w:val="1"/>
        </w:numPr>
        <w:rPr>
          <w:rFonts w:ascii="Times New Roman" w:hAnsi="Times New Roman" w:cs="Times New Roman"/>
          <w:sz w:val="24"/>
          <w:szCs w:val="24"/>
        </w:rPr>
      </w:pPr>
      <w:r w:rsidRPr="005353C6">
        <w:rPr>
          <w:rFonts w:ascii="Times New Roman" w:hAnsi="Times New Roman" w:cs="Times New Roman"/>
          <w:sz w:val="24"/>
          <w:szCs w:val="24"/>
        </w:rPr>
        <w:t xml:space="preserve">There have been many examples of recidivism among cartel members, even firms that had received amnesty for their participation in earlier cartels (Levenstein and Suslow </w:t>
      </w:r>
      <w:r w:rsidR="00BA0095" w:rsidRPr="005353C6">
        <w:rPr>
          <w:rFonts w:ascii="Times New Roman" w:hAnsi="Times New Roman" w:cs="Times New Roman"/>
          <w:sz w:val="24"/>
          <w:szCs w:val="24"/>
        </w:rPr>
        <w:t>2010)</w:t>
      </w:r>
      <w:r w:rsidRPr="005353C6">
        <w:rPr>
          <w:rFonts w:ascii="Times New Roman" w:hAnsi="Times New Roman" w:cs="Times New Roman"/>
          <w:sz w:val="24"/>
          <w:szCs w:val="24"/>
        </w:rPr>
        <w:t>. This suggests that increased surveillance and skepticism regarding the competitive behavior of former cartel members is warranted and should be considered in any future merger reviews.</w:t>
      </w:r>
    </w:p>
    <w:p w:rsidR="004A31D5" w:rsidRPr="005353C6" w:rsidRDefault="004A31D5" w:rsidP="004A31D5">
      <w:pPr>
        <w:pStyle w:val="ListParagraph"/>
        <w:numPr>
          <w:ilvl w:val="0"/>
          <w:numId w:val="1"/>
        </w:numPr>
        <w:rPr>
          <w:rFonts w:ascii="Times New Roman" w:hAnsi="Times New Roman" w:cs="Times New Roman"/>
          <w:sz w:val="24"/>
          <w:szCs w:val="24"/>
        </w:rPr>
      </w:pPr>
      <w:r w:rsidRPr="005353C6">
        <w:rPr>
          <w:rFonts w:ascii="Times New Roman" w:hAnsi="Times New Roman" w:cs="Times New Roman"/>
          <w:sz w:val="24"/>
          <w:szCs w:val="24"/>
        </w:rPr>
        <w:t>Industry concentration in the United States has increased substantially over the last several decades. (</w:t>
      </w:r>
      <w:proofErr w:type="spellStart"/>
      <w:r w:rsidRPr="005353C6">
        <w:rPr>
          <w:rFonts w:ascii="Times New Roman" w:hAnsi="Times New Roman" w:cs="Times New Roman"/>
          <w:sz w:val="24"/>
          <w:szCs w:val="24"/>
        </w:rPr>
        <w:t>Peltzman</w:t>
      </w:r>
      <w:proofErr w:type="spellEnd"/>
      <w:r w:rsidRPr="005353C6">
        <w:rPr>
          <w:rFonts w:ascii="Times New Roman" w:hAnsi="Times New Roman" w:cs="Times New Roman"/>
          <w:sz w:val="24"/>
          <w:szCs w:val="24"/>
        </w:rPr>
        <w:t xml:space="preserve"> </w:t>
      </w:r>
      <w:r w:rsidR="00BA0095" w:rsidRPr="005353C6">
        <w:rPr>
          <w:rFonts w:ascii="Times New Roman" w:hAnsi="Times New Roman" w:cs="Times New Roman"/>
          <w:sz w:val="24"/>
          <w:szCs w:val="24"/>
        </w:rPr>
        <w:t>2014</w:t>
      </w:r>
      <w:r w:rsidRPr="005353C6">
        <w:rPr>
          <w:rFonts w:ascii="Times New Roman" w:hAnsi="Times New Roman" w:cs="Times New Roman"/>
          <w:sz w:val="24"/>
          <w:szCs w:val="24"/>
        </w:rPr>
        <w:t xml:space="preserve">.)  This suggests that the potential for explicit and tacit collusion has increased. </w:t>
      </w:r>
      <w:r w:rsidR="00563247" w:rsidRPr="005353C6">
        <w:rPr>
          <w:rFonts w:ascii="Times New Roman" w:hAnsi="Times New Roman" w:cs="Times New Roman"/>
          <w:sz w:val="24"/>
          <w:szCs w:val="24"/>
        </w:rPr>
        <w:t>Enforcement resources</w:t>
      </w:r>
      <w:r w:rsidRPr="005353C6">
        <w:rPr>
          <w:rFonts w:ascii="Times New Roman" w:hAnsi="Times New Roman" w:cs="Times New Roman"/>
          <w:sz w:val="24"/>
          <w:szCs w:val="24"/>
        </w:rPr>
        <w:t xml:space="preserve"> to detect and deter collusion are therefore critical to prevent increases in collusion.</w:t>
      </w:r>
      <w:r w:rsidR="00563247" w:rsidRPr="005353C6">
        <w:rPr>
          <w:rFonts w:ascii="Times New Roman" w:hAnsi="Times New Roman" w:cs="Times New Roman"/>
          <w:sz w:val="24"/>
          <w:szCs w:val="24"/>
        </w:rPr>
        <w:t xml:space="preserve"> Policies</w:t>
      </w:r>
      <w:r w:rsidRPr="005353C6">
        <w:rPr>
          <w:rFonts w:ascii="Times New Roman" w:hAnsi="Times New Roman" w:cs="Times New Roman"/>
          <w:sz w:val="24"/>
          <w:szCs w:val="24"/>
        </w:rPr>
        <w:t xml:space="preserve"> </w:t>
      </w:r>
      <w:r w:rsidR="00563247" w:rsidRPr="005353C6">
        <w:rPr>
          <w:rFonts w:ascii="Times New Roman" w:hAnsi="Times New Roman" w:cs="Times New Roman"/>
          <w:sz w:val="24"/>
          <w:szCs w:val="24"/>
        </w:rPr>
        <w:t>that</w:t>
      </w:r>
      <w:r w:rsidRPr="005353C6">
        <w:rPr>
          <w:rFonts w:ascii="Times New Roman" w:hAnsi="Times New Roman" w:cs="Times New Roman"/>
          <w:sz w:val="24"/>
          <w:szCs w:val="24"/>
        </w:rPr>
        <w:t xml:space="preserve"> encourage new entry </w:t>
      </w:r>
      <w:r w:rsidR="00563247" w:rsidRPr="005353C6">
        <w:rPr>
          <w:rFonts w:ascii="Times New Roman" w:hAnsi="Times New Roman" w:cs="Times New Roman"/>
          <w:sz w:val="24"/>
          <w:szCs w:val="24"/>
        </w:rPr>
        <w:t>are also very important as it makes both tacit and explicit collusion more difficult.</w:t>
      </w:r>
    </w:p>
    <w:p w:rsidR="00BA0095" w:rsidRPr="005353C6" w:rsidRDefault="00BA0095" w:rsidP="00BA0095">
      <w:pPr>
        <w:rPr>
          <w:rFonts w:ascii="Times New Roman" w:hAnsi="Times New Roman" w:cs="Times New Roman"/>
          <w:sz w:val="24"/>
          <w:szCs w:val="24"/>
        </w:rPr>
      </w:pPr>
      <w:r w:rsidRPr="005353C6">
        <w:rPr>
          <w:rFonts w:ascii="Times New Roman" w:hAnsi="Times New Roman" w:cs="Times New Roman"/>
          <w:sz w:val="24"/>
          <w:szCs w:val="24"/>
        </w:rPr>
        <w:t>Levenstein, Margaret C. and Valerie Y. Suslow (2011)</w:t>
      </w:r>
      <w:r w:rsidRPr="005353C6">
        <w:rPr>
          <w:rFonts w:ascii="Times New Roman" w:hAnsi="Times New Roman" w:cs="Times New Roman"/>
          <w:sz w:val="24"/>
          <w:szCs w:val="24"/>
        </w:rPr>
        <w:tab/>
        <w:t xml:space="preserve">“Breaking Up is Hard to Do: Determinants of Cartel Duration,” </w:t>
      </w:r>
      <w:r w:rsidRPr="005353C6">
        <w:rPr>
          <w:rFonts w:ascii="Times New Roman" w:hAnsi="Times New Roman" w:cs="Times New Roman"/>
          <w:i/>
          <w:sz w:val="24"/>
          <w:szCs w:val="24"/>
        </w:rPr>
        <w:t>Journal of Law and Economics</w:t>
      </w:r>
      <w:r w:rsidRPr="005353C6">
        <w:rPr>
          <w:rFonts w:ascii="Times New Roman" w:hAnsi="Times New Roman" w:cs="Times New Roman"/>
          <w:sz w:val="24"/>
          <w:szCs w:val="24"/>
        </w:rPr>
        <w:t>, 54:2, 455-492.</w:t>
      </w:r>
    </w:p>
    <w:p w:rsidR="00563247" w:rsidRPr="005353C6" w:rsidRDefault="00BA0095" w:rsidP="00BA0095">
      <w:pPr>
        <w:rPr>
          <w:rFonts w:ascii="Times New Roman" w:hAnsi="Times New Roman" w:cs="Times New Roman"/>
          <w:sz w:val="24"/>
          <w:szCs w:val="24"/>
        </w:rPr>
      </w:pPr>
      <w:r w:rsidRPr="005353C6">
        <w:rPr>
          <w:rFonts w:ascii="Times New Roman" w:hAnsi="Times New Roman" w:cs="Times New Roman"/>
          <w:sz w:val="24"/>
          <w:szCs w:val="24"/>
        </w:rPr>
        <w:t>Levenstein, Margaret and Valerie Suslow (2010)</w:t>
      </w:r>
      <w:r w:rsidRPr="005353C6">
        <w:rPr>
          <w:rFonts w:ascii="Times New Roman" w:hAnsi="Times New Roman" w:cs="Times New Roman"/>
          <w:sz w:val="24"/>
          <w:szCs w:val="24"/>
        </w:rPr>
        <w:tab/>
        <w:t xml:space="preserve">“Constant Vigilance: Maintaining Cartel Deterrence </w:t>
      </w:r>
      <w:proofErr w:type="gramStart"/>
      <w:r w:rsidRPr="005353C6">
        <w:rPr>
          <w:rFonts w:ascii="Times New Roman" w:hAnsi="Times New Roman" w:cs="Times New Roman"/>
          <w:sz w:val="24"/>
          <w:szCs w:val="24"/>
        </w:rPr>
        <w:t>During</w:t>
      </w:r>
      <w:proofErr w:type="gramEnd"/>
      <w:r w:rsidRPr="005353C6">
        <w:rPr>
          <w:rFonts w:ascii="Times New Roman" w:hAnsi="Times New Roman" w:cs="Times New Roman"/>
          <w:sz w:val="24"/>
          <w:szCs w:val="24"/>
        </w:rPr>
        <w:t xml:space="preserve"> the Great Recession,” </w:t>
      </w:r>
      <w:r w:rsidRPr="005353C6">
        <w:rPr>
          <w:rFonts w:ascii="Times New Roman" w:hAnsi="Times New Roman" w:cs="Times New Roman"/>
          <w:i/>
          <w:sz w:val="24"/>
          <w:szCs w:val="24"/>
        </w:rPr>
        <w:t>Competition Policy International</w:t>
      </w:r>
      <w:r w:rsidRPr="005353C6">
        <w:rPr>
          <w:rFonts w:ascii="Times New Roman" w:hAnsi="Times New Roman" w:cs="Times New Roman"/>
          <w:sz w:val="24"/>
          <w:szCs w:val="24"/>
        </w:rPr>
        <w:t xml:space="preserve"> 6(2) 145-162.</w:t>
      </w:r>
    </w:p>
    <w:p w:rsidR="00BA0095" w:rsidRPr="005353C6" w:rsidRDefault="00BA0095" w:rsidP="00BA0095">
      <w:pPr>
        <w:rPr>
          <w:rFonts w:ascii="Times New Roman" w:hAnsi="Times New Roman" w:cs="Times New Roman"/>
          <w:sz w:val="24"/>
          <w:szCs w:val="24"/>
        </w:rPr>
      </w:pPr>
      <w:proofErr w:type="spellStart"/>
      <w:proofErr w:type="gramStart"/>
      <w:r w:rsidRPr="005353C6">
        <w:rPr>
          <w:rFonts w:ascii="Times New Roman" w:hAnsi="Times New Roman" w:cs="Times New Roman"/>
          <w:sz w:val="24"/>
          <w:szCs w:val="24"/>
        </w:rPr>
        <w:t>Peltzman</w:t>
      </w:r>
      <w:proofErr w:type="spellEnd"/>
      <w:r w:rsidRPr="005353C6">
        <w:rPr>
          <w:rFonts w:ascii="Times New Roman" w:hAnsi="Times New Roman" w:cs="Times New Roman"/>
          <w:sz w:val="24"/>
          <w:szCs w:val="24"/>
        </w:rPr>
        <w:t xml:space="preserve">, Sam (2014), “Industrial Concentration under the Rule of Reason,” </w:t>
      </w:r>
      <w:r w:rsidRPr="005353C6">
        <w:rPr>
          <w:rFonts w:ascii="Times New Roman" w:hAnsi="Times New Roman" w:cs="Times New Roman"/>
          <w:i/>
          <w:sz w:val="24"/>
          <w:szCs w:val="24"/>
        </w:rPr>
        <w:t>Journal of Law and Economics</w:t>
      </w:r>
      <w:r w:rsidRPr="005353C6">
        <w:rPr>
          <w:rFonts w:ascii="Times New Roman" w:hAnsi="Times New Roman" w:cs="Times New Roman"/>
          <w:sz w:val="24"/>
          <w:szCs w:val="24"/>
        </w:rPr>
        <w:t>, forthcoming.</w:t>
      </w:r>
      <w:proofErr w:type="gramEnd"/>
    </w:p>
    <w:p w:rsidR="004A31D5" w:rsidRDefault="004A31D5" w:rsidP="004A31D5">
      <w:pPr>
        <w:pStyle w:val="ListParagraph"/>
      </w:pPr>
    </w:p>
    <w:sectPr w:rsidR="004A31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A6706"/>
    <w:multiLevelType w:val="hybridMultilevel"/>
    <w:tmpl w:val="BB46EE76"/>
    <w:lvl w:ilvl="0" w:tplc="B14093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1D5"/>
    <w:rsid w:val="003F1EB9"/>
    <w:rsid w:val="004A31D5"/>
    <w:rsid w:val="005353C6"/>
    <w:rsid w:val="00563247"/>
    <w:rsid w:val="00BA0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1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1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Ross School of Business</Company>
  <LinksUpToDate>false</LinksUpToDate>
  <CharactersWithSpaces>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School of Business</dc:creator>
  <cp:lastModifiedBy>SAA</cp:lastModifiedBy>
  <cp:revision>2</cp:revision>
  <dcterms:created xsi:type="dcterms:W3CDTF">2013-12-11T15:27:00Z</dcterms:created>
  <dcterms:modified xsi:type="dcterms:W3CDTF">2013-12-11T15:27:00Z</dcterms:modified>
</cp:coreProperties>
</file>