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CA" w:rsidRDefault="009F6881" w:rsidP="006177CA">
      <w:pPr>
        <w:jc w:val="center"/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  <w:u w:val="single"/>
        </w:rPr>
        <w:t>Statement of Senator Cornyn for the Hearing</w:t>
      </w:r>
      <w:r w:rsidR="006177CA" w:rsidRPr="006177CA">
        <w:rPr>
          <w:rFonts w:ascii="Arial" w:hAnsi="Arial" w:cs="Arial"/>
          <w:b/>
          <w:sz w:val="34"/>
          <w:szCs w:val="34"/>
          <w:u w:val="single"/>
        </w:rPr>
        <w:t xml:space="preserve"> on </w:t>
      </w:r>
      <w:r w:rsidR="006A53F7">
        <w:rPr>
          <w:rFonts w:ascii="Arial" w:hAnsi="Arial" w:cs="Arial"/>
          <w:b/>
          <w:sz w:val="34"/>
          <w:szCs w:val="34"/>
          <w:u w:val="single"/>
        </w:rPr>
        <w:t xml:space="preserve">Justice </w:t>
      </w:r>
      <w:r w:rsidR="00960611">
        <w:rPr>
          <w:rFonts w:ascii="Arial" w:hAnsi="Arial" w:cs="Arial"/>
          <w:b/>
          <w:sz w:val="34"/>
          <w:szCs w:val="34"/>
          <w:u w:val="single"/>
        </w:rPr>
        <w:t>Louis Butler</w:t>
      </w:r>
      <w:r>
        <w:rPr>
          <w:rFonts w:ascii="Arial" w:hAnsi="Arial" w:cs="Arial"/>
          <w:b/>
          <w:sz w:val="34"/>
          <w:szCs w:val="34"/>
          <w:u w:val="single"/>
        </w:rPr>
        <w:t>’s Nomination to the District Court for the Western District of Wisconsin</w:t>
      </w:r>
    </w:p>
    <w:p w:rsidR="006177CA" w:rsidRDefault="006177CA" w:rsidP="006177CA">
      <w:pPr>
        <w:jc w:val="center"/>
        <w:rPr>
          <w:rFonts w:ascii="Arial" w:hAnsi="Arial" w:cs="Arial"/>
          <w:b/>
          <w:sz w:val="34"/>
          <w:szCs w:val="34"/>
          <w:u w:val="single"/>
        </w:rPr>
      </w:pPr>
    </w:p>
    <w:p w:rsidR="009F6881" w:rsidRPr="006177CA" w:rsidRDefault="009F6881" w:rsidP="006177CA">
      <w:pPr>
        <w:jc w:val="center"/>
        <w:rPr>
          <w:rFonts w:ascii="Arial" w:hAnsi="Arial" w:cs="Arial"/>
          <w:b/>
          <w:sz w:val="34"/>
          <w:szCs w:val="34"/>
          <w:u w:val="single"/>
        </w:rPr>
      </w:pPr>
    </w:p>
    <w:p w:rsidR="006A53F7" w:rsidRPr="006A53F7" w:rsidRDefault="009F6881" w:rsidP="006A53F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I regret that I am</w:t>
      </w:r>
      <w:r w:rsidR="006A53F7">
        <w:rPr>
          <w:rFonts w:ascii="Arial" w:hAnsi="Arial" w:cs="Arial"/>
          <w:sz w:val="34"/>
          <w:szCs w:val="34"/>
        </w:rPr>
        <w:t xml:space="preserve"> unable to attend </w:t>
      </w:r>
      <w:r>
        <w:rPr>
          <w:rFonts w:ascii="Arial" w:hAnsi="Arial" w:cs="Arial"/>
          <w:sz w:val="34"/>
          <w:szCs w:val="34"/>
        </w:rPr>
        <w:t xml:space="preserve">today’s hearing on the nomination of </w:t>
      </w:r>
      <w:r w:rsidR="006A53F7">
        <w:rPr>
          <w:rFonts w:ascii="Arial" w:hAnsi="Arial" w:cs="Arial"/>
          <w:sz w:val="34"/>
          <w:szCs w:val="34"/>
        </w:rPr>
        <w:t>Justice</w:t>
      </w:r>
      <w:r>
        <w:rPr>
          <w:rFonts w:ascii="Arial" w:hAnsi="Arial" w:cs="Arial"/>
          <w:sz w:val="34"/>
          <w:szCs w:val="34"/>
        </w:rPr>
        <w:t xml:space="preserve"> Louis</w:t>
      </w:r>
      <w:r w:rsidR="006A53F7">
        <w:rPr>
          <w:rFonts w:ascii="Arial" w:hAnsi="Arial" w:cs="Arial"/>
          <w:sz w:val="34"/>
          <w:szCs w:val="34"/>
        </w:rPr>
        <w:t xml:space="preserve"> Butle</w:t>
      </w:r>
      <w:r>
        <w:rPr>
          <w:rFonts w:ascii="Arial" w:hAnsi="Arial" w:cs="Arial"/>
          <w:sz w:val="34"/>
          <w:szCs w:val="34"/>
        </w:rPr>
        <w:t>r</w:t>
      </w:r>
      <w:r w:rsidR="006A53F7">
        <w:rPr>
          <w:rFonts w:ascii="Arial" w:hAnsi="Arial" w:cs="Arial"/>
          <w:sz w:val="34"/>
          <w:szCs w:val="34"/>
        </w:rPr>
        <w:t>.</w:t>
      </w:r>
    </w:p>
    <w:p w:rsidR="006177CA" w:rsidRPr="006177CA" w:rsidRDefault="006177CA" w:rsidP="006177CA">
      <w:pPr>
        <w:pStyle w:val="ListParagraph"/>
        <w:spacing w:line="360" w:lineRule="auto"/>
        <w:rPr>
          <w:rFonts w:ascii="Arial" w:hAnsi="Arial" w:cs="Arial"/>
          <w:b/>
          <w:sz w:val="34"/>
          <w:szCs w:val="34"/>
        </w:rPr>
      </w:pPr>
    </w:p>
    <w:p w:rsidR="006177CA" w:rsidRPr="006177CA" w:rsidRDefault="006A53F7" w:rsidP="006177C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Having reviewed his writings and statements, I have serious reservations about his nomination to the federal </w:t>
      </w:r>
      <w:r w:rsidR="00E90541">
        <w:rPr>
          <w:rFonts w:ascii="Arial" w:hAnsi="Arial" w:cs="Arial"/>
          <w:sz w:val="34"/>
          <w:szCs w:val="34"/>
        </w:rPr>
        <w:t>district court</w:t>
      </w:r>
      <w:r>
        <w:rPr>
          <w:rFonts w:ascii="Arial" w:hAnsi="Arial" w:cs="Arial"/>
          <w:sz w:val="34"/>
          <w:szCs w:val="34"/>
        </w:rPr>
        <w:t xml:space="preserve">. </w:t>
      </w:r>
    </w:p>
    <w:p w:rsidR="006177CA" w:rsidRPr="006177CA" w:rsidRDefault="006177CA" w:rsidP="002D4C88">
      <w:pPr>
        <w:pStyle w:val="ListParagraph"/>
        <w:spacing w:line="360" w:lineRule="auto"/>
        <w:ind w:left="0"/>
        <w:rPr>
          <w:rFonts w:ascii="Arial" w:hAnsi="Arial" w:cs="Arial"/>
          <w:b/>
          <w:sz w:val="34"/>
          <w:szCs w:val="34"/>
        </w:rPr>
      </w:pPr>
    </w:p>
    <w:p w:rsidR="00206200" w:rsidRPr="00206200" w:rsidRDefault="006177CA" w:rsidP="006177C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34"/>
          <w:szCs w:val="34"/>
        </w:rPr>
      </w:pPr>
      <w:r w:rsidRPr="006177CA">
        <w:rPr>
          <w:rFonts w:ascii="Arial" w:hAnsi="Arial" w:cs="Arial"/>
          <w:sz w:val="34"/>
          <w:szCs w:val="34"/>
        </w:rPr>
        <w:t xml:space="preserve">In </w:t>
      </w:r>
      <w:r w:rsidR="006A53F7">
        <w:rPr>
          <w:rFonts w:ascii="Arial" w:hAnsi="Arial" w:cs="Arial"/>
          <w:sz w:val="34"/>
          <w:szCs w:val="34"/>
        </w:rPr>
        <w:t xml:space="preserve">numerous opinions </w:t>
      </w:r>
      <w:r w:rsidR="00206200">
        <w:rPr>
          <w:rFonts w:ascii="Arial" w:hAnsi="Arial" w:cs="Arial"/>
          <w:sz w:val="34"/>
          <w:szCs w:val="34"/>
        </w:rPr>
        <w:t>written during his tenure on</w:t>
      </w:r>
      <w:r w:rsidR="006A53F7">
        <w:rPr>
          <w:rFonts w:ascii="Arial" w:hAnsi="Arial" w:cs="Arial"/>
          <w:sz w:val="34"/>
          <w:szCs w:val="34"/>
        </w:rPr>
        <w:t xml:space="preserve"> the Wisconsin Supreme Court, Justice Butler </w:t>
      </w:r>
      <w:r w:rsidR="00206200">
        <w:rPr>
          <w:rFonts w:ascii="Arial" w:hAnsi="Arial" w:cs="Arial"/>
          <w:sz w:val="34"/>
          <w:szCs w:val="34"/>
        </w:rPr>
        <w:t>displayed a lack of impartiality, a disregard for precedent, and a willingness to legislate from the bench.</w:t>
      </w:r>
    </w:p>
    <w:p w:rsidR="00206200" w:rsidRDefault="00206200" w:rsidP="00206200">
      <w:pPr>
        <w:pStyle w:val="ListParagraph"/>
        <w:rPr>
          <w:rFonts w:ascii="Arial" w:hAnsi="Arial" w:cs="Arial"/>
          <w:sz w:val="34"/>
          <w:szCs w:val="34"/>
        </w:rPr>
      </w:pPr>
    </w:p>
    <w:p w:rsidR="00A61271" w:rsidRPr="00A61271" w:rsidRDefault="00206200" w:rsidP="00A6127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Voting to strike down Wisconsin’s popularly enacted punitive damages cap, Justice Butler ruled that it </w:t>
      </w:r>
      <w:r w:rsidR="00305132">
        <w:rPr>
          <w:rFonts w:ascii="Arial" w:hAnsi="Arial" w:cs="Arial"/>
          <w:sz w:val="34"/>
          <w:szCs w:val="34"/>
        </w:rPr>
        <w:t>was not rationally related to the goal of making malpractice insurance “available and affordable.”</w:t>
      </w:r>
      <w:r w:rsidR="00A61271">
        <w:rPr>
          <w:rFonts w:ascii="Arial" w:hAnsi="Arial" w:cs="Arial"/>
          <w:sz w:val="34"/>
          <w:szCs w:val="34"/>
        </w:rPr>
        <w:t xml:space="preserve"> </w:t>
      </w:r>
    </w:p>
    <w:p w:rsidR="00305132" w:rsidRDefault="00305132" w:rsidP="00305132">
      <w:pPr>
        <w:pStyle w:val="ListParagraph"/>
        <w:rPr>
          <w:rFonts w:ascii="Arial" w:hAnsi="Arial" w:cs="Arial"/>
          <w:b/>
          <w:sz w:val="34"/>
          <w:szCs w:val="34"/>
        </w:rPr>
      </w:pPr>
    </w:p>
    <w:p w:rsidR="00305132" w:rsidRPr="00305132" w:rsidRDefault="00305132" w:rsidP="00305132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sz w:val="34"/>
          <w:szCs w:val="34"/>
        </w:rPr>
        <w:lastRenderedPageBreak/>
        <w:t>In placing this vote, Justice Butler:</w:t>
      </w:r>
    </w:p>
    <w:p w:rsidR="00305132" w:rsidRPr="00305132" w:rsidRDefault="007464C0" w:rsidP="00305132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Abandoned</w:t>
      </w:r>
      <w:r w:rsidR="00305132">
        <w:rPr>
          <w:rFonts w:ascii="Arial" w:hAnsi="Arial" w:cs="Arial"/>
          <w:sz w:val="34"/>
          <w:szCs w:val="34"/>
        </w:rPr>
        <w:t xml:space="preserve"> prior Wisconsin </w:t>
      </w:r>
      <w:r w:rsidR="007F1403">
        <w:rPr>
          <w:rFonts w:ascii="Arial" w:hAnsi="Arial" w:cs="Arial"/>
          <w:sz w:val="34"/>
          <w:szCs w:val="34"/>
        </w:rPr>
        <w:t xml:space="preserve">Supreme Court </w:t>
      </w:r>
      <w:r w:rsidR="00305132">
        <w:rPr>
          <w:rFonts w:ascii="Arial" w:hAnsi="Arial" w:cs="Arial"/>
          <w:sz w:val="34"/>
          <w:szCs w:val="34"/>
        </w:rPr>
        <w:t>precedent upholding the cap</w:t>
      </w:r>
      <w:r w:rsidR="00E90541">
        <w:rPr>
          <w:rFonts w:ascii="Arial" w:hAnsi="Arial" w:cs="Arial"/>
          <w:sz w:val="34"/>
          <w:szCs w:val="34"/>
        </w:rPr>
        <w:t>;</w:t>
      </w:r>
    </w:p>
    <w:p w:rsidR="00305132" w:rsidRPr="00305132" w:rsidRDefault="008460D2" w:rsidP="00305132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Dismissed</w:t>
      </w:r>
      <w:r w:rsidR="00305132">
        <w:rPr>
          <w:rFonts w:ascii="Arial" w:hAnsi="Arial" w:cs="Arial"/>
          <w:sz w:val="34"/>
          <w:szCs w:val="34"/>
        </w:rPr>
        <w:t xml:space="preserve"> the </w:t>
      </w:r>
      <w:r w:rsidR="00E90541">
        <w:rPr>
          <w:rFonts w:ascii="Arial" w:hAnsi="Arial" w:cs="Arial"/>
          <w:sz w:val="34"/>
          <w:szCs w:val="34"/>
        </w:rPr>
        <w:t xml:space="preserve">clear </w:t>
      </w:r>
      <w:r w:rsidR="00305132">
        <w:rPr>
          <w:rFonts w:ascii="Arial" w:hAnsi="Arial" w:cs="Arial"/>
          <w:sz w:val="34"/>
          <w:szCs w:val="34"/>
        </w:rPr>
        <w:t>findings of the Wisconsin legislature; and</w:t>
      </w:r>
    </w:p>
    <w:p w:rsidR="00305132" w:rsidRPr="00305132" w:rsidRDefault="008460D2" w:rsidP="00305132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Ignored </w:t>
      </w:r>
      <w:r w:rsidR="00E90541">
        <w:rPr>
          <w:rFonts w:ascii="Arial" w:hAnsi="Arial" w:cs="Arial"/>
          <w:sz w:val="34"/>
          <w:szCs w:val="34"/>
        </w:rPr>
        <w:t>evidence from Wisconsin and states like Texas showing that damage caps reduce frivolous</w:t>
      </w:r>
      <w:r w:rsidR="007F1403">
        <w:rPr>
          <w:rFonts w:ascii="Arial" w:hAnsi="Arial" w:cs="Arial"/>
          <w:sz w:val="34"/>
          <w:szCs w:val="34"/>
        </w:rPr>
        <w:t xml:space="preserve"> litigation and</w:t>
      </w:r>
      <w:r w:rsidR="00E90541">
        <w:rPr>
          <w:rFonts w:ascii="Arial" w:hAnsi="Arial" w:cs="Arial"/>
          <w:sz w:val="34"/>
          <w:szCs w:val="34"/>
        </w:rPr>
        <w:t xml:space="preserve"> insurance premiums.</w:t>
      </w:r>
    </w:p>
    <w:p w:rsidR="00206200" w:rsidRDefault="00206200" w:rsidP="00206200">
      <w:pPr>
        <w:pStyle w:val="ListParagraph"/>
        <w:rPr>
          <w:rFonts w:ascii="Arial" w:hAnsi="Arial" w:cs="Arial"/>
          <w:sz w:val="34"/>
          <w:szCs w:val="34"/>
        </w:rPr>
      </w:pPr>
    </w:p>
    <w:p w:rsidR="003C2611" w:rsidRPr="003C2611" w:rsidRDefault="00F32804" w:rsidP="00D5702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Justice Butler also has </w:t>
      </w:r>
      <w:r w:rsidR="00476A98">
        <w:rPr>
          <w:rFonts w:ascii="Arial" w:hAnsi="Arial" w:cs="Arial"/>
          <w:sz w:val="34"/>
          <w:szCs w:val="34"/>
        </w:rPr>
        <w:t xml:space="preserve">written an opinion </w:t>
      </w:r>
      <w:r w:rsidR="003C2611">
        <w:rPr>
          <w:rFonts w:ascii="Arial" w:hAnsi="Arial" w:cs="Arial"/>
          <w:sz w:val="34"/>
          <w:szCs w:val="34"/>
        </w:rPr>
        <w:t>making Wisconsin the only state to adopt a “collective liability” theory in product liability cases.</w:t>
      </w:r>
    </w:p>
    <w:p w:rsidR="003C2611" w:rsidRPr="003C2611" w:rsidRDefault="003C2611" w:rsidP="003C2611">
      <w:pPr>
        <w:pStyle w:val="ListParagraph"/>
        <w:spacing w:line="360" w:lineRule="auto"/>
        <w:ind w:left="360"/>
        <w:rPr>
          <w:rFonts w:ascii="Arial" w:hAnsi="Arial" w:cs="Arial"/>
          <w:b/>
          <w:sz w:val="34"/>
          <w:szCs w:val="34"/>
        </w:rPr>
      </w:pPr>
    </w:p>
    <w:p w:rsidR="003C2611" w:rsidRPr="003C2611" w:rsidRDefault="003C2611" w:rsidP="003C2611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A</w:t>
      </w:r>
      <w:r w:rsidR="00476A98">
        <w:rPr>
          <w:rFonts w:ascii="Arial" w:hAnsi="Arial" w:cs="Arial"/>
          <w:sz w:val="34"/>
          <w:szCs w:val="34"/>
        </w:rPr>
        <w:t xml:space="preserve">ccording to the </w:t>
      </w:r>
      <w:r w:rsidR="00476A98">
        <w:rPr>
          <w:rFonts w:ascii="Arial" w:hAnsi="Arial" w:cs="Arial"/>
          <w:i/>
          <w:sz w:val="34"/>
          <w:szCs w:val="34"/>
        </w:rPr>
        <w:t>Wall Street Journal</w:t>
      </w:r>
      <w:r w:rsidR="00476A98">
        <w:rPr>
          <w:rFonts w:ascii="Arial" w:hAnsi="Arial" w:cs="Arial"/>
          <w:sz w:val="34"/>
          <w:szCs w:val="34"/>
        </w:rPr>
        <w:t xml:space="preserve">, </w:t>
      </w:r>
      <w:r>
        <w:rPr>
          <w:rFonts w:ascii="Arial" w:hAnsi="Arial" w:cs="Arial"/>
          <w:sz w:val="34"/>
          <w:szCs w:val="34"/>
        </w:rPr>
        <w:t xml:space="preserve">this “infamous” opinion </w:t>
      </w:r>
      <w:r w:rsidR="00476A98">
        <w:rPr>
          <w:rFonts w:ascii="Arial" w:hAnsi="Arial" w:cs="Arial"/>
          <w:sz w:val="34"/>
          <w:szCs w:val="34"/>
        </w:rPr>
        <w:t>“created</w:t>
      </w:r>
      <w:r w:rsidR="00476A98">
        <w:rPr>
          <w:rFonts w:ascii="Arial" w:hAnsi="Arial" w:cs="Arial"/>
          <w:i/>
          <w:sz w:val="34"/>
          <w:szCs w:val="34"/>
        </w:rPr>
        <w:t xml:space="preserve"> </w:t>
      </w:r>
      <w:r>
        <w:rPr>
          <w:rFonts w:ascii="Arial" w:hAnsi="Arial" w:cs="Arial"/>
          <w:sz w:val="34"/>
          <w:szCs w:val="34"/>
        </w:rPr>
        <w:t xml:space="preserve">a guilty-until-proven-innocent approach to product liability.” </w:t>
      </w:r>
    </w:p>
    <w:p w:rsidR="003C2611" w:rsidRPr="003C2611" w:rsidRDefault="003C2611" w:rsidP="003C2611">
      <w:pPr>
        <w:pStyle w:val="ListParagraph"/>
        <w:spacing w:line="360" w:lineRule="auto"/>
        <w:ind w:left="1440"/>
        <w:rPr>
          <w:rFonts w:ascii="Arial" w:hAnsi="Arial" w:cs="Arial"/>
          <w:b/>
          <w:sz w:val="34"/>
          <w:szCs w:val="34"/>
        </w:rPr>
      </w:pPr>
    </w:p>
    <w:p w:rsidR="00F32804" w:rsidRPr="009F6881" w:rsidRDefault="003C2611" w:rsidP="003C2611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The Wisconsin justices dissenting from the opinion contended that it allowed </w:t>
      </w:r>
      <w:r w:rsidR="00D57020">
        <w:rPr>
          <w:rFonts w:ascii="Arial" w:hAnsi="Arial" w:cs="Arial"/>
          <w:sz w:val="34"/>
          <w:szCs w:val="34"/>
        </w:rPr>
        <w:t xml:space="preserve">manufacturers </w:t>
      </w:r>
      <w:r>
        <w:rPr>
          <w:rFonts w:ascii="Arial" w:hAnsi="Arial" w:cs="Arial"/>
          <w:sz w:val="34"/>
          <w:szCs w:val="34"/>
        </w:rPr>
        <w:t xml:space="preserve">to </w:t>
      </w:r>
      <w:r w:rsidR="00D57020">
        <w:rPr>
          <w:rFonts w:ascii="Arial" w:hAnsi="Arial" w:cs="Arial"/>
          <w:sz w:val="34"/>
          <w:szCs w:val="34"/>
        </w:rPr>
        <w:t xml:space="preserve">“be held liable for a product they may or may not have </w:t>
      </w:r>
      <w:proofErr w:type="gramStart"/>
      <w:r w:rsidR="00D57020">
        <w:rPr>
          <w:rFonts w:ascii="Arial" w:hAnsi="Arial" w:cs="Arial"/>
          <w:sz w:val="34"/>
          <w:szCs w:val="34"/>
        </w:rPr>
        <w:t>produced,</w:t>
      </w:r>
      <w:proofErr w:type="gramEnd"/>
      <w:r w:rsidR="00D57020">
        <w:rPr>
          <w:rFonts w:ascii="Arial" w:hAnsi="Arial" w:cs="Arial"/>
          <w:sz w:val="34"/>
          <w:szCs w:val="34"/>
        </w:rPr>
        <w:t xml:space="preserve"> whic</w:t>
      </w:r>
      <w:r w:rsidR="00A61271">
        <w:rPr>
          <w:rFonts w:ascii="Arial" w:hAnsi="Arial" w:cs="Arial"/>
          <w:sz w:val="34"/>
          <w:szCs w:val="34"/>
        </w:rPr>
        <w:t>h may or may not have caused [a]</w:t>
      </w:r>
      <w:r w:rsidR="00D57020">
        <w:rPr>
          <w:rFonts w:ascii="Arial" w:hAnsi="Arial" w:cs="Arial"/>
          <w:sz w:val="34"/>
          <w:szCs w:val="34"/>
        </w:rPr>
        <w:t xml:space="preserve"> plaintiff’s injuries, based on conduct that may have </w:t>
      </w:r>
      <w:r w:rsidR="00D57020">
        <w:rPr>
          <w:rFonts w:ascii="Arial" w:hAnsi="Arial" w:cs="Arial"/>
          <w:sz w:val="34"/>
          <w:szCs w:val="34"/>
        </w:rPr>
        <w:lastRenderedPageBreak/>
        <w:t xml:space="preserve">occurred over 100 years ago </w:t>
      </w:r>
      <w:r>
        <w:rPr>
          <w:rFonts w:ascii="Arial" w:hAnsi="Arial" w:cs="Arial"/>
          <w:sz w:val="34"/>
          <w:szCs w:val="34"/>
        </w:rPr>
        <w:t>. . . .</w:t>
      </w:r>
      <w:r w:rsidR="00D57020">
        <w:rPr>
          <w:rFonts w:ascii="Arial" w:hAnsi="Arial" w:cs="Arial"/>
          <w:sz w:val="34"/>
          <w:szCs w:val="34"/>
        </w:rPr>
        <w:t xml:space="preserve">”  </w:t>
      </w:r>
      <w:r w:rsidR="00D57020">
        <w:rPr>
          <w:rFonts w:ascii="Arial" w:hAnsi="Arial" w:cs="Arial"/>
          <w:i/>
          <w:sz w:val="34"/>
          <w:szCs w:val="34"/>
        </w:rPr>
        <w:t>Thomas v. Mallet</w:t>
      </w:r>
      <w:r w:rsidR="00D57020">
        <w:rPr>
          <w:rFonts w:ascii="Arial" w:hAnsi="Arial" w:cs="Arial"/>
          <w:sz w:val="34"/>
          <w:szCs w:val="34"/>
        </w:rPr>
        <w:t>, 701 N.W.2d 523 (Wis. 2005) (</w:t>
      </w:r>
      <w:r w:rsidR="00DF71B7">
        <w:rPr>
          <w:rFonts w:ascii="Arial" w:hAnsi="Arial" w:cs="Arial"/>
          <w:sz w:val="34"/>
          <w:szCs w:val="34"/>
        </w:rPr>
        <w:t>Wilcox, J. dissenting).</w:t>
      </w:r>
    </w:p>
    <w:p w:rsidR="009F6881" w:rsidRPr="003C2611" w:rsidRDefault="009F6881" w:rsidP="009F6881">
      <w:pPr>
        <w:pStyle w:val="ListParagraph"/>
        <w:spacing w:line="360" w:lineRule="auto"/>
        <w:ind w:left="0"/>
        <w:rPr>
          <w:rFonts w:ascii="Arial" w:hAnsi="Arial" w:cs="Arial"/>
          <w:b/>
          <w:sz w:val="34"/>
          <w:szCs w:val="34"/>
        </w:rPr>
      </w:pPr>
    </w:p>
    <w:p w:rsidR="00D57020" w:rsidRPr="007F1403" w:rsidRDefault="007F1403" w:rsidP="007F14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Furthermore, </w:t>
      </w:r>
      <w:r w:rsidR="00D57020">
        <w:rPr>
          <w:rFonts w:ascii="Arial" w:hAnsi="Arial" w:cs="Arial"/>
          <w:sz w:val="34"/>
          <w:szCs w:val="34"/>
        </w:rPr>
        <w:t>Donald Gifford, the former dean of the University of Marylan</w:t>
      </w:r>
      <w:r>
        <w:rPr>
          <w:rFonts w:ascii="Arial" w:hAnsi="Arial" w:cs="Arial"/>
          <w:sz w:val="34"/>
          <w:szCs w:val="34"/>
        </w:rPr>
        <w:t>d Law School, remarked that Justice Butler’s</w:t>
      </w:r>
      <w:r w:rsidR="00D57020">
        <w:rPr>
          <w:rFonts w:ascii="Arial" w:hAnsi="Arial" w:cs="Arial"/>
          <w:sz w:val="34"/>
          <w:szCs w:val="34"/>
        </w:rPr>
        <w:t xml:space="preserve"> </w:t>
      </w:r>
      <w:r>
        <w:rPr>
          <w:rFonts w:ascii="Arial" w:hAnsi="Arial" w:cs="Arial"/>
          <w:sz w:val="34"/>
          <w:szCs w:val="34"/>
        </w:rPr>
        <w:t>opinion</w:t>
      </w:r>
      <w:r w:rsidR="00D57020">
        <w:rPr>
          <w:rFonts w:ascii="Arial" w:hAnsi="Arial" w:cs="Arial"/>
          <w:sz w:val="34"/>
          <w:szCs w:val="34"/>
        </w:rPr>
        <w:t xml:space="preserve"> was “the single most radical departure from the principles of tort law in recent decades . . . </w:t>
      </w:r>
      <w:proofErr w:type="gramStart"/>
      <w:r w:rsidR="00D57020">
        <w:rPr>
          <w:rFonts w:ascii="Arial" w:hAnsi="Arial" w:cs="Arial"/>
          <w:sz w:val="34"/>
          <w:szCs w:val="34"/>
        </w:rPr>
        <w:t>put[</w:t>
      </w:r>
      <w:proofErr w:type="gramEnd"/>
      <w:r w:rsidR="00D57020">
        <w:rPr>
          <w:rFonts w:ascii="Arial" w:hAnsi="Arial" w:cs="Arial"/>
          <w:sz w:val="34"/>
          <w:szCs w:val="34"/>
        </w:rPr>
        <w:t>ting] Wisconsin dramatically out of line with the law of any other state in the country.”</w:t>
      </w:r>
    </w:p>
    <w:p w:rsidR="00A61271" w:rsidRDefault="00A61271" w:rsidP="00D57020">
      <w:pPr>
        <w:pStyle w:val="ListParagraph"/>
        <w:rPr>
          <w:rFonts w:ascii="Arial" w:hAnsi="Arial" w:cs="Arial"/>
          <w:sz w:val="34"/>
          <w:szCs w:val="34"/>
        </w:rPr>
      </w:pPr>
    </w:p>
    <w:p w:rsidR="00DF71B7" w:rsidRPr="00DF71B7" w:rsidRDefault="00DF71B7" w:rsidP="00DF71B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Justice Butler additionally has </w:t>
      </w:r>
      <w:r w:rsidR="008460D2">
        <w:rPr>
          <w:rFonts w:ascii="Arial" w:hAnsi="Arial" w:cs="Arial"/>
          <w:sz w:val="34"/>
          <w:szCs w:val="34"/>
        </w:rPr>
        <w:t>disregarded</w:t>
      </w:r>
      <w:r w:rsidR="00A61271">
        <w:rPr>
          <w:rFonts w:ascii="Arial" w:hAnsi="Arial" w:cs="Arial"/>
          <w:sz w:val="34"/>
          <w:szCs w:val="34"/>
        </w:rPr>
        <w:t xml:space="preserve"> the rulings of superior courts:</w:t>
      </w:r>
      <w:r>
        <w:rPr>
          <w:rFonts w:ascii="Arial" w:hAnsi="Arial" w:cs="Arial"/>
          <w:sz w:val="34"/>
          <w:szCs w:val="34"/>
        </w:rPr>
        <w:t xml:space="preserve">  </w:t>
      </w:r>
    </w:p>
    <w:p w:rsidR="00DF71B7" w:rsidRPr="00DF71B7" w:rsidRDefault="00DF71B7" w:rsidP="00DF71B7">
      <w:pPr>
        <w:pStyle w:val="ListParagraph"/>
        <w:spacing w:line="360" w:lineRule="auto"/>
        <w:rPr>
          <w:rFonts w:ascii="Arial" w:hAnsi="Arial" w:cs="Arial"/>
          <w:b/>
          <w:sz w:val="34"/>
          <w:szCs w:val="34"/>
        </w:rPr>
      </w:pPr>
    </w:p>
    <w:p w:rsidR="00DF71B7" w:rsidRPr="00DF71B7" w:rsidRDefault="00DF71B7" w:rsidP="00DF71B7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After the United States Supreme Court reversed a Fifth Amendment ruling of the Wisconsin Supreme Court, Justice Butler joined an opinion interpreting identical language in the Wisconsin Constitution to </w:t>
      </w:r>
      <w:r w:rsidR="00A25E0D">
        <w:rPr>
          <w:rFonts w:ascii="Arial" w:hAnsi="Arial" w:cs="Arial"/>
          <w:sz w:val="34"/>
          <w:szCs w:val="34"/>
        </w:rPr>
        <w:t>reinstate</w:t>
      </w:r>
      <w:r>
        <w:rPr>
          <w:rFonts w:ascii="Arial" w:hAnsi="Arial" w:cs="Arial"/>
          <w:sz w:val="34"/>
          <w:szCs w:val="34"/>
        </w:rPr>
        <w:t xml:space="preserve"> the Wisconsin Supreme Court’s initial determination.</w:t>
      </w:r>
      <w:r w:rsidR="00A61271">
        <w:rPr>
          <w:rFonts w:ascii="Arial" w:hAnsi="Arial" w:cs="Arial"/>
          <w:sz w:val="34"/>
          <w:szCs w:val="34"/>
        </w:rPr>
        <w:t xml:space="preserve">  </w:t>
      </w:r>
      <w:r w:rsidR="00A61271">
        <w:rPr>
          <w:rFonts w:ascii="Arial" w:hAnsi="Arial" w:cs="Arial"/>
          <w:i/>
          <w:sz w:val="34"/>
          <w:szCs w:val="34"/>
        </w:rPr>
        <w:t>See State v. Knapp</w:t>
      </w:r>
      <w:r w:rsidR="00A61271">
        <w:rPr>
          <w:rFonts w:ascii="Arial" w:hAnsi="Arial" w:cs="Arial"/>
          <w:sz w:val="34"/>
          <w:szCs w:val="34"/>
        </w:rPr>
        <w:t>, 700 N.W.2d 899 (Wis. 2005).</w:t>
      </w:r>
    </w:p>
    <w:p w:rsidR="00DF71B7" w:rsidRPr="00D57020" w:rsidRDefault="00DF71B7" w:rsidP="00DF71B7">
      <w:pPr>
        <w:pStyle w:val="ListParagraph"/>
        <w:spacing w:line="360" w:lineRule="auto"/>
        <w:rPr>
          <w:rFonts w:ascii="Arial" w:hAnsi="Arial" w:cs="Arial"/>
          <w:b/>
          <w:sz w:val="34"/>
          <w:szCs w:val="34"/>
        </w:rPr>
      </w:pPr>
    </w:p>
    <w:p w:rsidR="00476A98" w:rsidRPr="00476A98" w:rsidRDefault="00A61271" w:rsidP="00DF71B7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sz w:val="34"/>
          <w:szCs w:val="34"/>
        </w:rPr>
        <w:lastRenderedPageBreak/>
        <w:t>This opinion abandoned Wisconsin’s longstanding practice of interpreting its constitution in “lock step” with the United States Constitution</w:t>
      </w:r>
      <w:r w:rsidR="003C2611">
        <w:rPr>
          <w:rFonts w:ascii="Arial" w:hAnsi="Arial" w:cs="Arial"/>
          <w:sz w:val="34"/>
          <w:szCs w:val="34"/>
        </w:rPr>
        <w:t>, and it excluded essential evidence from a murder trial.</w:t>
      </w:r>
    </w:p>
    <w:p w:rsidR="00476A98" w:rsidRDefault="00476A98" w:rsidP="00476A98">
      <w:pPr>
        <w:pStyle w:val="ListParagraph"/>
        <w:rPr>
          <w:rFonts w:ascii="Arial" w:hAnsi="Arial" w:cs="Arial"/>
          <w:sz w:val="34"/>
          <w:szCs w:val="34"/>
        </w:rPr>
      </w:pPr>
    </w:p>
    <w:p w:rsidR="00DF71B7" w:rsidRPr="003C2611" w:rsidRDefault="00476A98" w:rsidP="003C2611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Judge Diane Sykes of the Seventh Circuit </w:t>
      </w:r>
      <w:r w:rsidR="003C2611">
        <w:rPr>
          <w:rFonts w:ascii="Arial" w:hAnsi="Arial" w:cs="Arial"/>
          <w:sz w:val="34"/>
          <w:szCs w:val="34"/>
        </w:rPr>
        <w:t>declared the opinion</w:t>
      </w:r>
      <w:r w:rsidR="007F1403">
        <w:rPr>
          <w:rFonts w:ascii="Arial" w:hAnsi="Arial" w:cs="Arial"/>
          <w:sz w:val="34"/>
          <w:szCs w:val="34"/>
        </w:rPr>
        <w:t xml:space="preserve"> to be</w:t>
      </w:r>
      <w:r w:rsidR="003C2611">
        <w:rPr>
          <w:rFonts w:ascii="Arial" w:hAnsi="Arial" w:cs="Arial"/>
          <w:sz w:val="34"/>
          <w:szCs w:val="34"/>
        </w:rPr>
        <w:t xml:space="preserve"> </w:t>
      </w:r>
      <w:r w:rsidRPr="003C2611">
        <w:rPr>
          <w:rFonts w:ascii="Arial" w:hAnsi="Arial" w:cs="Arial"/>
          <w:sz w:val="34"/>
          <w:szCs w:val="34"/>
        </w:rPr>
        <w:t>“pure unvarnished result-orientation</w:t>
      </w:r>
      <w:r w:rsidR="00A61271" w:rsidRPr="003C2611">
        <w:rPr>
          <w:rFonts w:ascii="Arial" w:hAnsi="Arial" w:cs="Arial"/>
          <w:sz w:val="34"/>
          <w:szCs w:val="34"/>
        </w:rPr>
        <w:t>.</w:t>
      </w:r>
      <w:r w:rsidRPr="003C2611">
        <w:rPr>
          <w:rFonts w:ascii="Arial" w:hAnsi="Arial" w:cs="Arial"/>
          <w:sz w:val="34"/>
          <w:szCs w:val="34"/>
        </w:rPr>
        <w:t>”</w:t>
      </w:r>
    </w:p>
    <w:p w:rsidR="00DF71B7" w:rsidRDefault="00DF71B7" w:rsidP="00DF71B7">
      <w:pPr>
        <w:pStyle w:val="ListParagraph"/>
        <w:rPr>
          <w:rFonts w:ascii="Arial" w:hAnsi="Arial" w:cs="Arial"/>
          <w:sz w:val="34"/>
          <w:szCs w:val="34"/>
        </w:rPr>
      </w:pPr>
    </w:p>
    <w:p w:rsidR="006177CA" w:rsidRPr="006177CA" w:rsidRDefault="00476A98" w:rsidP="006177C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I regret to say that, taken t</w:t>
      </w:r>
      <w:r w:rsidR="00E90541">
        <w:rPr>
          <w:rFonts w:ascii="Arial" w:hAnsi="Arial" w:cs="Arial"/>
          <w:sz w:val="34"/>
          <w:szCs w:val="34"/>
        </w:rPr>
        <w:t>ogether, these and many other</w:t>
      </w:r>
      <w:r w:rsidR="00206200">
        <w:rPr>
          <w:rFonts w:ascii="Arial" w:hAnsi="Arial" w:cs="Arial"/>
          <w:sz w:val="34"/>
          <w:szCs w:val="34"/>
        </w:rPr>
        <w:t xml:space="preserve"> rulings of Justic</w:t>
      </w:r>
      <w:r w:rsidR="00CE3F95">
        <w:rPr>
          <w:rFonts w:ascii="Arial" w:hAnsi="Arial" w:cs="Arial"/>
          <w:sz w:val="34"/>
          <w:szCs w:val="34"/>
        </w:rPr>
        <w:t xml:space="preserve">e Butler </w:t>
      </w:r>
      <w:r w:rsidR="00E90541">
        <w:rPr>
          <w:rFonts w:ascii="Arial" w:hAnsi="Arial" w:cs="Arial"/>
          <w:sz w:val="34"/>
          <w:szCs w:val="34"/>
        </w:rPr>
        <w:t xml:space="preserve">place him outside of the </w:t>
      </w:r>
      <w:r w:rsidR="00F32804">
        <w:rPr>
          <w:rFonts w:ascii="Arial" w:hAnsi="Arial" w:cs="Arial"/>
          <w:sz w:val="34"/>
          <w:szCs w:val="34"/>
        </w:rPr>
        <w:t xml:space="preserve">judicial mainstream and </w:t>
      </w:r>
      <w:r w:rsidR="00CE3F95">
        <w:rPr>
          <w:rFonts w:ascii="Arial" w:hAnsi="Arial" w:cs="Arial"/>
          <w:sz w:val="34"/>
          <w:szCs w:val="34"/>
        </w:rPr>
        <w:t>rais</w:t>
      </w:r>
      <w:r>
        <w:rPr>
          <w:rFonts w:ascii="Arial" w:hAnsi="Arial" w:cs="Arial"/>
          <w:sz w:val="34"/>
          <w:szCs w:val="34"/>
        </w:rPr>
        <w:t xml:space="preserve">e concerns about his ability to </w:t>
      </w:r>
      <w:r w:rsidR="00F32804">
        <w:rPr>
          <w:rFonts w:ascii="Arial" w:hAnsi="Arial" w:cs="Arial"/>
          <w:sz w:val="34"/>
          <w:szCs w:val="34"/>
        </w:rPr>
        <w:t>apply the rule of law</w:t>
      </w:r>
      <w:r w:rsidR="007F1403">
        <w:rPr>
          <w:rFonts w:ascii="Arial" w:hAnsi="Arial" w:cs="Arial"/>
          <w:sz w:val="34"/>
          <w:szCs w:val="34"/>
        </w:rPr>
        <w:t xml:space="preserve"> fairly and impartially</w:t>
      </w:r>
      <w:r w:rsidR="00F32804">
        <w:rPr>
          <w:rFonts w:ascii="Arial" w:hAnsi="Arial" w:cs="Arial"/>
          <w:sz w:val="34"/>
          <w:szCs w:val="34"/>
        </w:rPr>
        <w:t>.</w:t>
      </w:r>
    </w:p>
    <w:p w:rsidR="006177CA" w:rsidRPr="006177CA" w:rsidRDefault="006177CA" w:rsidP="006177CA">
      <w:pPr>
        <w:pStyle w:val="ListParagraph"/>
        <w:rPr>
          <w:rFonts w:ascii="Arial" w:hAnsi="Arial" w:cs="Arial"/>
          <w:b/>
          <w:sz w:val="34"/>
          <w:szCs w:val="34"/>
        </w:rPr>
      </w:pPr>
    </w:p>
    <w:p w:rsidR="006177CA" w:rsidRPr="00F32804" w:rsidRDefault="00F32804" w:rsidP="00F3280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I plan to submit written questions to Justice Butler and look forward to his responses.  But based on his current record, I am deeply troubled by his nomination.</w:t>
      </w:r>
      <w:r w:rsidR="006177CA" w:rsidRPr="00F32804">
        <w:rPr>
          <w:rFonts w:ascii="Arial" w:hAnsi="Arial" w:cs="Arial"/>
          <w:sz w:val="34"/>
          <w:szCs w:val="34"/>
        </w:rPr>
        <w:t xml:space="preserve"> </w:t>
      </w:r>
    </w:p>
    <w:sectPr w:rsidR="006177CA" w:rsidRPr="00F32804" w:rsidSect="006177CA">
      <w:footerReference w:type="default" r:id="rId7"/>
      <w:pgSz w:w="12240" w:h="15840"/>
      <w:pgMar w:top="1440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E0D" w:rsidRDefault="00A25E0D" w:rsidP="00A25E0D">
      <w:pPr>
        <w:spacing w:after="0" w:line="240" w:lineRule="auto"/>
      </w:pPr>
      <w:r>
        <w:separator/>
      </w:r>
    </w:p>
  </w:endnote>
  <w:endnote w:type="continuationSeparator" w:id="0">
    <w:p w:rsidR="00A25E0D" w:rsidRDefault="00A25E0D" w:rsidP="00A25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E0D" w:rsidRDefault="00023468">
    <w:pPr>
      <w:pStyle w:val="Footer"/>
      <w:jc w:val="right"/>
    </w:pPr>
    <w:fldSimple w:instr=" PAGE   \* MERGEFORMAT ">
      <w:r w:rsidR="009F6881">
        <w:rPr>
          <w:noProof/>
        </w:rPr>
        <w:t>1</w:t>
      </w:r>
    </w:fldSimple>
  </w:p>
  <w:p w:rsidR="00A25E0D" w:rsidRDefault="00A25E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E0D" w:rsidRDefault="00A25E0D" w:rsidP="00A25E0D">
      <w:pPr>
        <w:spacing w:after="0" w:line="240" w:lineRule="auto"/>
      </w:pPr>
      <w:r>
        <w:separator/>
      </w:r>
    </w:p>
  </w:footnote>
  <w:footnote w:type="continuationSeparator" w:id="0">
    <w:p w:rsidR="00A25E0D" w:rsidRDefault="00A25E0D" w:rsidP="00A25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006CD"/>
    <w:multiLevelType w:val="hybridMultilevel"/>
    <w:tmpl w:val="4326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7CA"/>
    <w:rsid w:val="00023468"/>
    <w:rsid w:val="00206200"/>
    <w:rsid w:val="002D4C88"/>
    <w:rsid w:val="00305132"/>
    <w:rsid w:val="003C2611"/>
    <w:rsid w:val="00476A98"/>
    <w:rsid w:val="006177CA"/>
    <w:rsid w:val="006A53F7"/>
    <w:rsid w:val="007464C0"/>
    <w:rsid w:val="007A1488"/>
    <w:rsid w:val="007F1403"/>
    <w:rsid w:val="008460D2"/>
    <w:rsid w:val="00960611"/>
    <w:rsid w:val="009F6881"/>
    <w:rsid w:val="00A25E0D"/>
    <w:rsid w:val="00A4037A"/>
    <w:rsid w:val="00A464A6"/>
    <w:rsid w:val="00A61271"/>
    <w:rsid w:val="00B81997"/>
    <w:rsid w:val="00CE3F95"/>
    <w:rsid w:val="00D57020"/>
    <w:rsid w:val="00DF71B7"/>
    <w:rsid w:val="00E90541"/>
    <w:rsid w:val="00F32804"/>
    <w:rsid w:val="00F62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48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7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25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5E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5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E0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</dc:creator>
  <cp:lastModifiedBy>SAA</cp:lastModifiedBy>
  <cp:revision>9</cp:revision>
  <cp:lastPrinted>2009-11-04T23:29:00Z</cp:lastPrinted>
  <dcterms:created xsi:type="dcterms:W3CDTF">2009-11-04T22:10:00Z</dcterms:created>
  <dcterms:modified xsi:type="dcterms:W3CDTF">2009-11-05T16:37:00Z</dcterms:modified>
</cp:coreProperties>
</file>