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183" w:rsidRPr="000640D1" w:rsidRDefault="00AF4183" w:rsidP="00AF4183">
      <w:pPr>
        <w:jc w:val="center"/>
        <w:rPr>
          <w:rFonts w:asciiTheme="majorHAnsi" w:hAnsiTheme="majorHAnsi"/>
          <w:b/>
          <w:bCs/>
          <w:sz w:val="26"/>
          <w:szCs w:val="26"/>
          <w:lang w:val="en-CA"/>
        </w:rPr>
      </w:pPr>
      <w:r w:rsidRPr="000640D1">
        <w:rPr>
          <w:rFonts w:asciiTheme="majorHAnsi" w:hAnsiTheme="majorHAnsi"/>
          <w:b/>
          <w:bCs/>
          <w:sz w:val="26"/>
          <w:szCs w:val="26"/>
          <w:lang w:val="en-CA"/>
        </w:rPr>
        <w:t>Statement of Senator Chuck Grassley</w:t>
      </w:r>
    </w:p>
    <w:p w:rsidR="00035B62" w:rsidRDefault="00035B62" w:rsidP="00AF4183">
      <w:pPr>
        <w:jc w:val="center"/>
        <w:rPr>
          <w:rFonts w:asciiTheme="majorHAnsi" w:hAnsiTheme="majorHAnsi"/>
          <w:b/>
          <w:bCs/>
          <w:sz w:val="26"/>
          <w:szCs w:val="26"/>
          <w:lang w:val="en-CA"/>
        </w:rPr>
      </w:pPr>
    </w:p>
    <w:p w:rsidR="00AF4183" w:rsidRPr="000640D1" w:rsidRDefault="00AF4183" w:rsidP="00AF4183">
      <w:pPr>
        <w:jc w:val="center"/>
        <w:rPr>
          <w:rFonts w:asciiTheme="majorHAnsi" w:hAnsiTheme="majorHAnsi"/>
          <w:b/>
          <w:bCs/>
          <w:sz w:val="26"/>
          <w:szCs w:val="26"/>
          <w:lang w:val="en-CA"/>
        </w:rPr>
      </w:pPr>
      <w:r w:rsidRPr="000640D1">
        <w:rPr>
          <w:rFonts w:asciiTheme="majorHAnsi" w:hAnsiTheme="majorHAnsi"/>
          <w:b/>
          <w:bCs/>
          <w:sz w:val="26"/>
          <w:szCs w:val="26"/>
          <w:lang w:val="en-CA"/>
        </w:rPr>
        <w:t>Before the Committee on the Judiciary</w:t>
      </w:r>
    </w:p>
    <w:p w:rsidR="00AF4183" w:rsidRPr="000640D1" w:rsidRDefault="00AF4183" w:rsidP="00AF4183">
      <w:pPr>
        <w:jc w:val="center"/>
        <w:rPr>
          <w:rFonts w:asciiTheme="majorHAnsi" w:hAnsiTheme="majorHAnsi"/>
          <w:b/>
          <w:bCs/>
          <w:sz w:val="26"/>
          <w:szCs w:val="26"/>
          <w:lang w:val="en-CA"/>
        </w:rPr>
      </w:pPr>
    </w:p>
    <w:p w:rsidR="00AF4183" w:rsidRPr="000640D1" w:rsidRDefault="00AF4183" w:rsidP="00AF4183">
      <w:pPr>
        <w:jc w:val="center"/>
        <w:rPr>
          <w:rFonts w:asciiTheme="majorHAnsi" w:hAnsiTheme="majorHAnsi"/>
          <w:b/>
          <w:bCs/>
          <w:sz w:val="26"/>
          <w:szCs w:val="26"/>
          <w:lang w:val="en-CA"/>
        </w:rPr>
      </w:pPr>
      <w:r w:rsidRPr="000640D1">
        <w:rPr>
          <w:rFonts w:asciiTheme="majorHAnsi" w:hAnsiTheme="majorHAnsi"/>
          <w:b/>
          <w:bCs/>
          <w:sz w:val="26"/>
          <w:szCs w:val="26"/>
          <w:lang w:val="en-CA"/>
        </w:rPr>
        <w:t xml:space="preserve">On the Nominations of:  </w:t>
      </w:r>
    </w:p>
    <w:p w:rsidR="00AF4183" w:rsidRDefault="00AF4183" w:rsidP="00AF4183">
      <w:pPr>
        <w:rPr>
          <w:rFonts w:asciiTheme="majorHAnsi" w:hAnsiTheme="majorHAnsi"/>
          <w:bCs/>
          <w:i/>
          <w:sz w:val="26"/>
          <w:szCs w:val="26"/>
        </w:rPr>
      </w:pPr>
    </w:p>
    <w:p w:rsidR="00523AD4" w:rsidRPr="000640D1" w:rsidRDefault="00523AD4" w:rsidP="00AF4183">
      <w:pPr>
        <w:rPr>
          <w:rFonts w:asciiTheme="majorHAnsi" w:hAnsiTheme="majorHAnsi"/>
          <w:bCs/>
          <w:i/>
          <w:sz w:val="26"/>
          <w:szCs w:val="26"/>
        </w:rPr>
      </w:pPr>
    </w:p>
    <w:p w:rsidR="00523AD4" w:rsidRPr="00523AD4" w:rsidRDefault="00523AD4" w:rsidP="00523AD4">
      <w:pPr>
        <w:rPr>
          <w:rFonts w:asciiTheme="majorHAnsi" w:hAnsiTheme="majorHAnsi"/>
          <w:i/>
          <w:sz w:val="26"/>
          <w:szCs w:val="26"/>
        </w:rPr>
      </w:pPr>
      <w:r w:rsidRPr="00523AD4">
        <w:rPr>
          <w:rFonts w:asciiTheme="majorHAnsi" w:hAnsiTheme="majorHAnsi"/>
          <w:i/>
          <w:sz w:val="26"/>
          <w:szCs w:val="26"/>
        </w:rPr>
        <w:t xml:space="preserve">Steve Six, to be United States Circuit Judge for the Tenth Circuit </w:t>
      </w:r>
      <w:r w:rsidRPr="00523AD4">
        <w:rPr>
          <w:rFonts w:asciiTheme="majorHAnsi" w:hAnsiTheme="majorHAnsi"/>
          <w:i/>
          <w:sz w:val="26"/>
          <w:szCs w:val="26"/>
        </w:rPr>
        <w:br/>
      </w:r>
      <w:r w:rsidRPr="00523AD4">
        <w:rPr>
          <w:rFonts w:asciiTheme="majorHAnsi" w:hAnsiTheme="majorHAnsi"/>
          <w:i/>
          <w:sz w:val="26"/>
          <w:szCs w:val="26"/>
        </w:rPr>
        <w:br/>
        <w:t xml:space="preserve">Marina Garcia Marmolejo, to be United States District Judge for the Southern District of Texas </w:t>
      </w:r>
      <w:r w:rsidRPr="00523AD4">
        <w:rPr>
          <w:rFonts w:asciiTheme="majorHAnsi" w:hAnsiTheme="majorHAnsi"/>
          <w:i/>
          <w:sz w:val="26"/>
          <w:szCs w:val="26"/>
        </w:rPr>
        <w:br/>
      </w:r>
      <w:r w:rsidRPr="00523AD4">
        <w:rPr>
          <w:rFonts w:asciiTheme="majorHAnsi" w:hAnsiTheme="majorHAnsi"/>
          <w:i/>
          <w:sz w:val="26"/>
          <w:szCs w:val="26"/>
        </w:rPr>
        <w:br/>
        <w:t xml:space="preserve">Michael C. Green, to be United States District Judge for the Western District of New York </w:t>
      </w:r>
      <w:r w:rsidRPr="00523AD4">
        <w:rPr>
          <w:rFonts w:asciiTheme="majorHAnsi" w:hAnsiTheme="majorHAnsi"/>
          <w:i/>
          <w:sz w:val="26"/>
          <w:szCs w:val="26"/>
        </w:rPr>
        <w:br/>
      </w:r>
      <w:r w:rsidRPr="00523AD4">
        <w:rPr>
          <w:rFonts w:asciiTheme="majorHAnsi" w:hAnsiTheme="majorHAnsi"/>
          <w:i/>
          <w:sz w:val="26"/>
          <w:szCs w:val="26"/>
        </w:rPr>
        <w:br/>
        <w:t xml:space="preserve">Wilma Antoinette Lewis, to be Judge for the District Court of the Virgin Islands </w:t>
      </w:r>
      <w:r w:rsidRPr="00523AD4">
        <w:rPr>
          <w:rFonts w:asciiTheme="majorHAnsi" w:hAnsiTheme="majorHAnsi"/>
          <w:i/>
          <w:sz w:val="26"/>
          <w:szCs w:val="26"/>
        </w:rPr>
        <w:br/>
      </w:r>
      <w:r w:rsidRPr="00523AD4">
        <w:rPr>
          <w:rFonts w:asciiTheme="majorHAnsi" w:hAnsiTheme="majorHAnsi"/>
          <w:i/>
          <w:sz w:val="26"/>
          <w:szCs w:val="26"/>
        </w:rPr>
        <w:br/>
        <w:t xml:space="preserve">Major General Marilyn A. Quagliotti, USA (Ret.), to be Deputy Director for Supply Reduction, Office of National Drug Control Policy </w:t>
      </w:r>
    </w:p>
    <w:p w:rsidR="00AF4183" w:rsidRPr="000640D1" w:rsidRDefault="00AF4183" w:rsidP="00AF4183">
      <w:pPr>
        <w:rPr>
          <w:rFonts w:asciiTheme="majorHAnsi" w:hAnsiTheme="majorHAnsi"/>
          <w:bCs/>
          <w:i/>
          <w:sz w:val="26"/>
          <w:szCs w:val="26"/>
        </w:rPr>
      </w:pPr>
    </w:p>
    <w:p w:rsidR="00AF4183" w:rsidRPr="000640D1" w:rsidRDefault="00AF4183" w:rsidP="00AF4183">
      <w:pPr>
        <w:rPr>
          <w:rFonts w:asciiTheme="majorHAnsi" w:hAnsiTheme="majorHAnsi"/>
          <w:sz w:val="26"/>
          <w:szCs w:val="26"/>
        </w:rPr>
      </w:pPr>
    </w:p>
    <w:p w:rsidR="00AF4183" w:rsidRPr="000640D1" w:rsidRDefault="005F519C" w:rsidP="00AF4183">
      <w:pPr>
        <w:jc w:val="center"/>
        <w:rPr>
          <w:rFonts w:asciiTheme="majorHAnsi" w:hAnsiTheme="majorHAnsi"/>
          <w:sz w:val="26"/>
          <w:szCs w:val="26"/>
        </w:rPr>
      </w:pPr>
      <w:r>
        <w:rPr>
          <w:rFonts w:asciiTheme="majorHAnsi" w:hAnsiTheme="majorHAnsi"/>
          <w:b/>
          <w:sz w:val="26"/>
          <w:szCs w:val="26"/>
        </w:rPr>
        <w:t>May 24, 2011</w:t>
      </w:r>
    </w:p>
    <w:p w:rsidR="00AF4183" w:rsidRDefault="00AF4183" w:rsidP="00AF4183">
      <w:pPr>
        <w:jc w:val="center"/>
      </w:pPr>
    </w:p>
    <w:p w:rsidR="00AF4183" w:rsidRDefault="00523AD4" w:rsidP="00AF4183">
      <w:pPr>
        <w:spacing w:line="360" w:lineRule="auto"/>
        <w:rPr>
          <w:rFonts w:ascii="Cambria" w:hAnsi="Cambria"/>
          <w:sz w:val="36"/>
          <w:szCs w:val="36"/>
        </w:rPr>
      </w:pPr>
      <w:r>
        <w:rPr>
          <w:rFonts w:ascii="Cambria" w:hAnsi="Cambria"/>
          <w:sz w:val="36"/>
          <w:szCs w:val="36"/>
        </w:rPr>
        <w:t>Madam</w:t>
      </w:r>
      <w:r w:rsidR="00AF4183">
        <w:rPr>
          <w:rFonts w:ascii="Cambria" w:hAnsi="Cambria"/>
          <w:sz w:val="36"/>
          <w:szCs w:val="36"/>
        </w:rPr>
        <w:t xml:space="preserve"> Chairman:</w:t>
      </w:r>
    </w:p>
    <w:p w:rsidR="00AF4183" w:rsidRDefault="00AF4183" w:rsidP="00AF4183">
      <w:pPr>
        <w:spacing w:line="360" w:lineRule="auto"/>
        <w:rPr>
          <w:rFonts w:ascii="Cambria" w:hAnsi="Cambria"/>
          <w:sz w:val="28"/>
          <w:szCs w:val="28"/>
        </w:rPr>
      </w:pPr>
    </w:p>
    <w:p w:rsidR="00BD2D45" w:rsidRDefault="005D756D" w:rsidP="00523AD4">
      <w:pPr>
        <w:spacing w:line="360" w:lineRule="auto"/>
        <w:rPr>
          <w:rFonts w:ascii="Cambria" w:hAnsi="Cambria"/>
          <w:sz w:val="36"/>
          <w:szCs w:val="36"/>
        </w:rPr>
      </w:pPr>
      <w:r>
        <w:rPr>
          <w:rFonts w:ascii="Cambria" w:hAnsi="Cambria"/>
          <w:sz w:val="36"/>
          <w:szCs w:val="36"/>
        </w:rPr>
        <w:t xml:space="preserve">I extend my welcome to the </w:t>
      </w:r>
      <w:r w:rsidR="00AF4183">
        <w:rPr>
          <w:rFonts w:ascii="Cambria" w:hAnsi="Cambria"/>
          <w:sz w:val="36"/>
          <w:szCs w:val="36"/>
        </w:rPr>
        <w:t xml:space="preserve">nominees </w:t>
      </w:r>
      <w:r w:rsidR="005F519C">
        <w:rPr>
          <w:rFonts w:ascii="Cambria" w:hAnsi="Cambria"/>
          <w:sz w:val="36"/>
          <w:szCs w:val="36"/>
        </w:rPr>
        <w:t>appearing before us today</w:t>
      </w:r>
      <w:r>
        <w:rPr>
          <w:rFonts w:ascii="Cambria" w:hAnsi="Cambria"/>
          <w:sz w:val="36"/>
          <w:szCs w:val="36"/>
        </w:rPr>
        <w:t xml:space="preserve">.  I also welcome their families and friends. </w:t>
      </w:r>
      <w:r w:rsidR="00523AD4">
        <w:rPr>
          <w:rFonts w:ascii="Cambria" w:hAnsi="Cambria"/>
          <w:sz w:val="36"/>
          <w:szCs w:val="36"/>
        </w:rPr>
        <w:t xml:space="preserve"> I am eager to hear their testimony and ask my questions.  I expect the nominees will fully answer my questions.  Too often, nominees appear before us and fail to give meaningful responses.  </w:t>
      </w:r>
      <w:r w:rsidR="00BD2D45">
        <w:rPr>
          <w:rFonts w:ascii="Cambria" w:hAnsi="Cambria"/>
          <w:sz w:val="36"/>
          <w:szCs w:val="36"/>
        </w:rPr>
        <w:t>Unfortunately, a</w:t>
      </w:r>
      <w:r w:rsidR="00523AD4">
        <w:rPr>
          <w:rFonts w:ascii="Cambria" w:hAnsi="Cambria"/>
          <w:sz w:val="36"/>
          <w:szCs w:val="36"/>
        </w:rPr>
        <w:t xml:space="preserve"> </w:t>
      </w:r>
      <w:r w:rsidR="00BD2D45">
        <w:rPr>
          <w:rFonts w:ascii="Cambria" w:hAnsi="Cambria"/>
          <w:sz w:val="36"/>
          <w:szCs w:val="36"/>
        </w:rPr>
        <w:t xml:space="preserve">well-worn </w:t>
      </w:r>
      <w:r w:rsidR="00523AD4">
        <w:rPr>
          <w:rFonts w:ascii="Cambria" w:hAnsi="Cambria"/>
          <w:sz w:val="36"/>
          <w:szCs w:val="36"/>
        </w:rPr>
        <w:t xml:space="preserve">response to a </w:t>
      </w:r>
      <w:r w:rsidR="00523AD4">
        <w:rPr>
          <w:rFonts w:ascii="Cambria" w:hAnsi="Cambria"/>
          <w:sz w:val="36"/>
          <w:szCs w:val="36"/>
        </w:rPr>
        <w:lastRenderedPageBreak/>
        <w:t xml:space="preserve">question of substance </w:t>
      </w:r>
      <w:r w:rsidR="00BD2D45">
        <w:rPr>
          <w:rFonts w:ascii="Cambria" w:hAnsi="Cambria"/>
          <w:sz w:val="36"/>
          <w:szCs w:val="36"/>
        </w:rPr>
        <w:t xml:space="preserve">that we hear too frequently </w:t>
      </w:r>
      <w:r w:rsidR="00523AD4">
        <w:rPr>
          <w:rFonts w:ascii="Cambria" w:hAnsi="Cambria"/>
          <w:sz w:val="36"/>
          <w:szCs w:val="36"/>
        </w:rPr>
        <w:t xml:space="preserve">is “I will follow the law, if confirmed.” </w:t>
      </w:r>
      <w:r w:rsidR="00BD2D45">
        <w:rPr>
          <w:rFonts w:ascii="Cambria" w:hAnsi="Cambria"/>
          <w:sz w:val="36"/>
          <w:szCs w:val="36"/>
        </w:rPr>
        <w:t xml:space="preserve"> </w:t>
      </w:r>
    </w:p>
    <w:p w:rsidR="00BD2D45" w:rsidRDefault="00BD2D45" w:rsidP="00523AD4">
      <w:pPr>
        <w:spacing w:line="360" w:lineRule="auto"/>
        <w:rPr>
          <w:rFonts w:ascii="Cambria" w:hAnsi="Cambria"/>
          <w:sz w:val="36"/>
          <w:szCs w:val="36"/>
        </w:rPr>
      </w:pPr>
    </w:p>
    <w:p w:rsidR="00AF4183" w:rsidRDefault="00BD2D45" w:rsidP="00523AD4">
      <w:pPr>
        <w:spacing w:line="360" w:lineRule="auto"/>
        <w:rPr>
          <w:rFonts w:ascii="Cambria" w:hAnsi="Cambria"/>
          <w:sz w:val="36"/>
          <w:szCs w:val="36"/>
        </w:rPr>
      </w:pPr>
      <w:r>
        <w:rPr>
          <w:rFonts w:ascii="Cambria" w:hAnsi="Cambria"/>
          <w:sz w:val="36"/>
          <w:szCs w:val="36"/>
        </w:rPr>
        <w:t>T</w:t>
      </w:r>
      <w:r w:rsidR="00523AD4">
        <w:rPr>
          <w:rFonts w:ascii="Cambria" w:hAnsi="Cambria"/>
          <w:sz w:val="36"/>
          <w:szCs w:val="36"/>
        </w:rPr>
        <w:t>hat</w:t>
      </w:r>
      <w:r>
        <w:rPr>
          <w:rFonts w:ascii="Cambria" w:hAnsi="Cambria"/>
          <w:sz w:val="36"/>
          <w:szCs w:val="36"/>
        </w:rPr>
        <w:t xml:space="preserve"> type of response, which sounds coached, even robotic at times, </w:t>
      </w:r>
      <w:r w:rsidR="00523AD4">
        <w:rPr>
          <w:rFonts w:ascii="Cambria" w:hAnsi="Cambria"/>
          <w:sz w:val="36"/>
          <w:szCs w:val="36"/>
        </w:rPr>
        <w:t xml:space="preserve">doesn’t really get us very far with understanding the competence, integrity and temperament of a particular nominee.  It certainly gives no insight into the thought process, legal reasoning skills, or general judicial philosophy of a nominee.  </w:t>
      </w:r>
    </w:p>
    <w:p w:rsidR="00523AD4" w:rsidRDefault="00523AD4" w:rsidP="00AF4183">
      <w:pPr>
        <w:spacing w:line="360" w:lineRule="auto"/>
        <w:rPr>
          <w:rFonts w:ascii="Cambria" w:hAnsi="Cambria"/>
          <w:sz w:val="36"/>
          <w:szCs w:val="36"/>
        </w:rPr>
      </w:pPr>
    </w:p>
    <w:p w:rsidR="00523AD4" w:rsidRDefault="00523AD4" w:rsidP="00AF4183">
      <w:pPr>
        <w:spacing w:line="360" w:lineRule="auto"/>
        <w:rPr>
          <w:rFonts w:ascii="Cambria" w:hAnsi="Cambria"/>
          <w:sz w:val="36"/>
          <w:szCs w:val="36"/>
        </w:rPr>
      </w:pPr>
      <w:r>
        <w:rPr>
          <w:rFonts w:ascii="Cambria" w:hAnsi="Cambria"/>
          <w:sz w:val="36"/>
          <w:szCs w:val="36"/>
        </w:rPr>
        <w:t xml:space="preserve">I will insert my full statement into the record.  </w:t>
      </w:r>
    </w:p>
    <w:p w:rsidR="00BD2D45" w:rsidRDefault="00BD2D45" w:rsidP="00AF4183">
      <w:pPr>
        <w:spacing w:line="360" w:lineRule="auto"/>
        <w:rPr>
          <w:rFonts w:ascii="Cambria" w:hAnsi="Cambria"/>
          <w:sz w:val="36"/>
          <w:szCs w:val="36"/>
        </w:rPr>
      </w:pPr>
    </w:p>
    <w:p w:rsidR="00D05A1A" w:rsidRDefault="00BD2D45" w:rsidP="00CD2BDB">
      <w:pPr>
        <w:spacing w:line="360" w:lineRule="auto"/>
        <w:rPr>
          <w:rFonts w:asciiTheme="majorHAnsi" w:hAnsiTheme="majorHAnsi"/>
          <w:sz w:val="36"/>
          <w:szCs w:val="36"/>
        </w:rPr>
      </w:pPr>
      <w:r>
        <w:rPr>
          <w:rFonts w:asciiTheme="majorHAnsi" w:hAnsiTheme="majorHAnsi"/>
          <w:sz w:val="36"/>
          <w:szCs w:val="36"/>
        </w:rPr>
        <w:t>Stephen Six</w:t>
      </w:r>
      <w:r w:rsidR="00440FDA" w:rsidRPr="000640D1">
        <w:rPr>
          <w:rFonts w:asciiTheme="majorHAnsi" w:hAnsiTheme="majorHAnsi"/>
          <w:sz w:val="36"/>
          <w:szCs w:val="36"/>
        </w:rPr>
        <w:t xml:space="preserve"> is nominated to be United States </w:t>
      </w:r>
      <w:r>
        <w:rPr>
          <w:rFonts w:asciiTheme="majorHAnsi" w:hAnsiTheme="majorHAnsi"/>
          <w:sz w:val="36"/>
          <w:szCs w:val="36"/>
        </w:rPr>
        <w:t xml:space="preserve">Circuit </w:t>
      </w:r>
      <w:r w:rsidR="00440FDA" w:rsidRPr="000640D1">
        <w:rPr>
          <w:rFonts w:asciiTheme="majorHAnsi" w:hAnsiTheme="majorHAnsi"/>
          <w:sz w:val="36"/>
          <w:szCs w:val="36"/>
        </w:rPr>
        <w:t xml:space="preserve">Judge for the </w:t>
      </w:r>
      <w:r>
        <w:rPr>
          <w:rFonts w:asciiTheme="majorHAnsi" w:hAnsiTheme="majorHAnsi"/>
          <w:sz w:val="36"/>
          <w:szCs w:val="36"/>
        </w:rPr>
        <w:t xml:space="preserve">Tenth Circuit. </w:t>
      </w:r>
      <w:r w:rsidR="00440FDA" w:rsidRPr="000640D1">
        <w:rPr>
          <w:rFonts w:asciiTheme="majorHAnsi" w:hAnsiTheme="majorHAnsi"/>
          <w:sz w:val="36"/>
          <w:szCs w:val="36"/>
        </w:rPr>
        <w:t xml:space="preserve"> </w:t>
      </w:r>
      <w:r>
        <w:rPr>
          <w:rFonts w:asciiTheme="majorHAnsi" w:hAnsiTheme="majorHAnsi"/>
          <w:sz w:val="36"/>
          <w:szCs w:val="36"/>
        </w:rPr>
        <w:t>Mr. Six</w:t>
      </w:r>
      <w:r w:rsidR="00505769" w:rsidRPr="000640D1">
        <w:rPr>
          <w:rFonts w:asciiTheme="majorHAnsi" w:hAnsiTheme="majorHAnsi"/>
          <w:sz w:val="36"/>
          <w:szCs w:val="36"/>
        </w:rPr>
        <w:t xml:space="preserve"> received his B.A. from </w:t>
      </w:r>
      <w:r>
        <w:rPr>
          <w:rFonts w:asciiTheme="majorHAnsi" w:hAnsiTheme="majorHAnsi"/>
          <w:sz w:val="36"/>
          <w:szCs w:val="36"/>
        </w:rPr>
        <w:t xml:space="preserve">Carleton College in 1988 </w:t>
      </w:r>
      <w:r w:rsidR="00505769" w:rsidRPr="000640D1">
        <w:rPr>
          <w:rFonts w:asciiTheme="majorHAnsi" w:hAnsiTheme="majorHAnsi"/>
          <w:sz w:val="36"/>
          <w:szCs w:val="36"/>
        </w:rPr>
        <w:t xml:space="preserve">and his J.D. from </w:t>
      </w:r>
      <w:r>
        <w:rPr>
          <w:rFonts w:asciiTheme="majorHAnsi" w:hAnsiTheme="majorHAnsi"/>
          <w:sz w:val="36"/>
          <w:szCs w:val="36"/>
        </w:rPr>
        <w:t xml:space="preserve">the University of Kansas School </w:t>
      </w:r>
      <w:r w:rsidR="00505769" w:rsidRPr="000640D1">
        <w:rPr>
          <w:rFonts w:asciiTheme="majorHAnsi" w:hAnsiTheme="majorHAnsi"/>
          <w:sz w:val="36"/>
          <w:szCs w:val="36"/>
        </w:rPr>
        <w:t>of Law in 19</w:t>
      </w:r>
      <w:r>
        <w:rPr>
          <w:rFonts w:asciiTheme="majorHAnsi" w:hAnsiTheme="majorHAnsi"/>
          <w:sz w:val="36"/>
          <w:szCs w:val="36"/>
        </w:rPr>
        <w:t xml:space="preserve">93.  Following law school, he clerked for the Honorable </w:t>
      </w:r>
      <w:r w:rsidR="00CD2BDB" w:rsidRPr="00CD2BDB">
        <w:rPr>
          <w:rFonts w:asciiTheme="majorHAnsi" w:hAnsiTheme="majorHAnsi"/>
          <w:sz w:val="36"/>
          <w:szCs w:val="36"/>
        </w:rPr>
        <w:t>Deanell R. Tacha</w:t>
      </w:r>
      <w:r w:rsidR="00CD2BDB">
        <w:rPr>
          <w:rFonts w:asciiTheme="majorHAnsi" w:hAnsiTheme="majorHAnsi"/>
          <w:sz w:val="36"/>
          <w:szCs w:val="36"/>
        </w:rPr>
        <w:t>, United States Circuit Judge for the Tenth Circuit.  I note that if confirmed, Mr. Six will fill the vacancy created by the retirement of Judge Tacha.</w:t>
      </w:r>
    </w:p>
    <w:p w:rsidR="00CD2BDB" w:rsidRDefault="00CD2BDB" w:rsidP="00CD2BDB">
      <w:pPr>
        <w:spacing w:line="360" w:lineRule="auto"/>
        <w:rPr>
          <w:rFonts w:asciiTheme="majorHAnsi" w:hAnsiTheme="majorHAnsi"/>
          <w:sz w:val="36"/>
          <w:szCs w:val="36"/>
        </w:rPr>
      </w:pPr>
    </w:p>
    <w:p w:rsidR="00F77988" w:rsidRPr="00F77988" w:rsidRDefault="00F77988" w:rsidP="00F77988">
      <w:pPr>
        <w:spacing w:line="360" w:lineRule="auto"/>
        <w:rPr>
          <w:rFonts w:asciiTheme="majorHAnsi" w:hAnsiTheme="majorHAnsi"/>
          <w:sz w:val="36"/>
          <w:szCs w:val="36"/>
        </w:rPr>
      </w:pPr>
      <w:r>
        <w:rPr>
          <w:rFonts w:asciiTheme="majorHAnsi" w:hAnsiTheme="majorHAnsi"/>
          <w:sz w:val="36"/>
          <w:szCs w:val="36"/>
        </w:rPr>
        <w:lastRenderedPageBreak/>
        <w:t xml:space="preserve">Mr. Six began his legal career </w:t>
      </w:r>
      <w:r w:rsidRPr="00F77988">
        <w:rPr>
          <w:rFonts w:asciiTheme="majorHAnsi" w:hAnsiTheme="majorHAnsi"/>
          <w:sz w:val="36"/>
          <w:szCs w:val="36"/>
        </w:rPr>
        <w:t xml:space="preserve">as a litigation associate for Shamberg, Johnson &amp; Bergman.   </w:t>
      </w:r>
      <w:r>
        <w:rPr>
          <w:rFonts w:asciiTheme="majorHAnsi" w:hAnsiTheme="majorHAnsi"/>
          <w:sz w:val="36"/>
          <w:szCs w:val="36"/>
        </w:rPr>
        <w:t>There he</w:t>
      </w:r>
      <w:r w:rsidRPr="00F77988">
        <w:rPr>
          <w:rFonts w:asciiTheme="majorHAnsi" w:hAnsiTheme="majorHAnsi"/>
          <w:sz w:val="36"/>
          <w:szCs w:val="36"/>
        </w:rPr>
        <w:t xml:space="preserve"> primarily represented individuals and businesses in environmental, products liability, business torts, and personal injury cases.  In 2000, he was promoted to partner and remained in that position until being appointed a Kansas District Court Judge in 2005.   </w:t>
      </w:r>
    </w:p>
    <w:p w:rsidR="00F77988" w:rsidRDefault="00F77988" w:rsidP="00F77988">
      <w:pPr>
        <w:spacing w:line="360" w:lineRule="auto"/>
        <w:rPr>
          <w:rFonts w:asciiTheme="majorHAnsi" w:hAnsiTheme="majorHAnsi"/>
          <w:sz w:val="36"/>
          <w:szCs w:val="36"/>
        </w:rPr>
      </w:pPr>
    </w:p>
    <w:p w:rsidR="00F77988" w:rsidRDefault="00F77988" w:rsidP="00F77988">
      <w:pPr>
        <w:spacing w:line="360" w:lineRule="auto"/>
        <w:rPr>
          <w:rFonts w:asciiTheme="majorHAnsi" w:hAnsiTheme="majorHAnsi"/>
          <w:sz w:val="36"/>
          <w:szCs w:val="36"/>
        </w:rPr>
      </w:pPr>
      <w:r w:rsidRPr="00F77988">
        <w:rPr>
          <w:rFonts w:asciiTheme="majorHAnsi" w:hAnsiTheme="majorHAnsi"/>
          <w:sz w:val="36"/>
          <w:szCs w:val="36"/>
        </w:rPr>
        <w:t>From 2005 to 2008, Mr. Six served as a District Court Judge in the State of Kansas’ Seventh Judicial District</w:t>
      </w:r>
      <w:r>
        <w:rPr>
          <w:rFonts w:asciiTheme="majorHAnsi" w:hAnsiTheme="majorHAnsi"/>
          <w:sz w:val="36"/>
          <w:szCs w:val="36"/>
        </w:rPr>
        <w:t xml:space="preserve"> where he presided</w:t>
      </w:r>
      <w:r w:rsidRPr="00F77988">
        <w:rPr>
          <w:rFonts w:asciiTheme="majorHAnsi" w:hAnsiTheme="majorHAnsi"/>
          <w:sz w:val="36"/>
          <w:szCs w:val="36"/>
        </w:rPr>
        <w:t xml:space="preserve"> over criminal </w:t>
      </w:r>
      <w:r>
        <w:rPr>
          <w:rFonts w:asciiTheme="majorHAnsi" w:hAnsiTheme="majorHAnsi"/>
          <w:sz w:val="36"/>
          <w:szCs w:val="36"/>
        </w:rPr>
        <w:t xml:space="preserve">and </w:t>
      </w:r>
      <w:r w:rsidRPr="00F77988">
        <w:rPr>
          <w:rFonts w:asciiTheme="majorHAnsi" w:hAnsiTheme="majorHAnsi"/>
          <w:sz w:val="36"/>
          <w:szCs w:val="36"/>
        </w:rPr>
        <w:t xml:space="preserve">civil trials.  </w:t>
      </w:r>
    </w:p>
    <w:p w:rsidR="00F77988" w:rsidRDefault="00F77988" w:rsidP="00F77988">
      <w:pPr>
        <w:spacing w:line="360" w:lineRule="auto"/>
        <w:rPr>
          <w:rFonts w:asciiTheme="majorHAnsi" w:hAnsiTheme="majorHAnsi"/>
          <w:sz w:val="36"/>
          <w:szCs w:val="36"/>
        </w:rPr>
      </w:pPr>
    </w:p>
    <w:p w:rsidR="00F77988" w:rsidRDefault="00F77988" w:rsidP="00F77988">
      <w:pPr>
        <w:spacing w:line="360" w:lineRule="auto"/>
        <w:rPr>
          <w:rFonts w:asciiTheme="majorHAnsi" w:hAnsiTheme="majorHAnsi"/>
          <w:sz w:val="36"/>
          <w:szCs w:val="36"/>
        </w:rPr>
      </w:pPr>
      <w:r w:rsidRPr="00F77988">
        <w:rPr>
          <w:rFonts w:asciiTheme="majorHAnsi" w:hAnsiTheme="majorHAnsi"/>
          <w:sz w:val="36"/>
          <w:szCs w:val="36"/>
        </w:rPr>
        <w:t>In 2008, he</w:t>
      </w:r>
      <w:r>
        <w:rPr>
          <w:rFonts w:asciiTheme="majorHAnsi" w:hAnsiTheme="majorHAnsi"/>
          <w:sz w:val="36"/>
          <w:szCs w:val="36"/>
        </w:rPr>
        <w:t xml:space="preserve"> was appointed Attorney General.  </w:t>
      </w:r>
      <w:r w:rsidRPr="00F77988">
        <w:rPr>
          <w:rFonts w:asciiTheme="majorHAnsi" w:hAnsiTheme="majorHAnsi"/>
          <w:sz w:val="36"/>
          <w:szCs w:val="36"/>
        </w:rPr>
        <w:t xml:space="preserve">As Kansas Attorney General, he oversaw criminal investigations, wrote legal opinions, argued in appellate court, and prosecuted criminal matters. </w:t>
      </w:r>
      <w:r w:rsidR="00460CE6">
        <w:rPr>
          <w:rFonts w:asciiTheme="majorHAnsi" w:hAnsiTheme="majorHAnsi"/>
          <w:sz w:val="36"/>
          <w:szCs w:val="36"/>
        </w:rPr>
        <w:t xml:space="preserve"> He ran unsuccessfully for reelection in 2010.  Since 2011, </w:t>
      </w:r>
      <w:r>
        <w:rPr>
          <w:rFonts w:asciiTheme="majorHAnsi" w:hAnsiTheme="majorHAnsi"/>
          <w:sz w:val="36"/>
          <w:szCs w:val="36"/>
        </w:rPr>
        <w:t>Mr.</w:t>
      </w:r>
      <w:r w:rsidR="00460CE6">
        <w:rPr>
          <w:rFonts w:asciiTheme="majorHAnsi" w:hAnsiTheme="majorHAnsi"/>
          <w:sz w:val="36"/>
          <w:szCs w:val="36"/>
        </w:rPr>
        <w:t xml:space="preserve"> Six has been</w:t>
      </w:r>
      <w:r w:rsidRPr="00F77988">
        <w:rPr>
          <w:rFonts w:asciiTheme="majorHAnsi" w:hAnsiTheme="majorHAnsi"/>
          <w:sz w:val="36"/>
          <w:szCs w:val="36"/>
        </w:rPr>
        <w:t xml:space="preserve"> a partner at Stevens &amp; Brand where he represents a variety of businesses, counseling these clients on employment matters and business issues. </w:t>
      </w:r>
      <w:r w:rsidR="00460CE6">
        <w:rPr>
          <w:rFonts w:asciiTheme="majorHAnsi" w:hAnsiTheme="majorHAnsi"/>
          <w:sz w:val="36"/>
          <w:szCs w:val="36"/>
        </w:rPr>
        <w:t xml:space="preserve"> The ABA Standing Committee on the </w:t>
      </w:r>
      <w:r w:rsidR="00460CE6">
        <w:rPr>
          <w:rFonts w:asciiTheme="majorHAnsi" w:hAnsiTheme="majorHAnsi"/>
          <w:sz w:val="36"/>
          <w:szCs w:val="36"/>
        </w:rPr>
        <w:lastRenderedPageBreak/>
        <w:t>Federal Judiciary gave him a unanimous rating of Well Qualified.”</w:t>
      </w:r>
    </w:p>
    <w:p w:rsidR="00460CE6" w:rsidRPr="00F77988" w:rsidRDefault="00460CE6" w:rsidP="00F77988">
      <w:pPr>
        <w:spacing w:line="360" w:lineRule="auto"/>
        <w:rPr>
          <w:rFonts w:asciiTheme="majorHAnsi" w:hAnsiTheme="majorHAnsi"/>
          <w:sz w:val="36"/>
          <w:szCs w:val="36"/>
        </w:rPr>
      </w:pPr>
    </w:p>
    <w:p w:rsidR="00460CE6" w:rsidRPr="00460CE6" w:rsidRDefault="00460CE6" w:rsidP="00460CE6">
      <w:pPr>
        <w:spacing w:line="360" w:lineRule="auto"/>
        <w:rPr>
          <w:rFonts w:asciiTheme="majorHAnsi" w:hAnsiTheme="majorHAnsi"/>
          <w:sz w:val="36"/>
          <w:szCs w:val="36"/>
        </w:rPr>
      </w:pPr>
      <w:r>
        <w:rPr>
          <w:rFonts w:asciiTheme="majorHAnsi" w:hAnsiTheme="majorHAnsi"/>
          <w:sz w:val="36"/>
          <w:szCs w:val="36"/>
        </w:rPr>
        <w:t xml:space="preserve">Michael Charles </w:t>
      </w:r>
      <w:r w:rsidRPr="00460CE6">
        <w:rPr>
          <w:rFonts w:asciiTheme="majorHAnsi" w:hAnsiTheme="majorHAnsi"/>
          <w:sz w:val="36"/>
          <w:szCs w:val="36"/>
        </w:rPr>
        <w:t xml:space="preserve">Green </w:t>
      </w:r>
      <w:r>
        <w:rPr>
          <w:rFonts w:asciiTheme="majorHAnsi" w:hAnsiTheme="majorHAnsi"/>
          <w:sz w:val="36"/>
          <w:szCs w:val="36"/>
        </w:rPr>
        <w:t xml:space="preserve">is nominated to be United States District Judge for the Western District of New York.  He received </w:t>
      </w:r>
      <w:r w:rsidR="00806FF1">
        <w:rPr>
          <w:rFonts w:asciiTheme="majorHAnsi" w:hAnsiTheme="majorHAnsi"/>
          <w:sz w:val="36"/>
          <w:szCs w:val="36"/>
        </w:rPr>
        <w:t>his</w:t>
      </w:r>
      <w:r>
        <w:rPr>
          <w:rFonts w:asciiTheme="majorHAnsi" w:hAnsiTheme="majorHAnsi"/>
          <w:sz w:val="36"/>
          <w:szCs w:val="36"/>
        </w:rPr>
        <w:t xml:space="preserve"> B.S. degree in 1983 for Le Moyne College and his J.D. in 1986 from Western New </w:t>
      </w:r>
      <w:r w:rsidR="00806FF1">
        <w:rPr>
          <w:rFonts w:asciiTheme="majorHAnsi" w:hAnsiTheme="majorHAnsi"/>
          <w:sz w:val="36"/>
          <w:szCs w:val="36"/>
        </w:rPr>
        <w:t>England</w:t>
      </w:r>
      <w:r>
        <w:rPr>
          <w:rFonts w:asciiTheme="majorHAnsi" w:hAnsiTheme="majorHAnsi"/>
          <w:sz w:val="36"/>
          <w:szCs w:val="36"/>
        </w:rPr>
        <w:t xml:space="preserve"> College, School of Law.  Mr. Green </w:t>
      </w:r>
      <w:r w:rsidRPr="00460CE6">
        <w:rPr>
          <w:rFonts w:asciiTheme="majorHAnsi" w:hAnsiTheme="majorHAnsi"/>
          <w:sz w:val="36"/>
          <w:szCs w:val="36"/>
        </w:rPr>
        <w:t xml:space="preserve">began his legal career as a law clerk with Morris and Morris and was soon brought on as a full-time associate.  He worked for attorney James E. Morris, Esq., on real estate closings and plaintiffs’ personal injury claims. He remained with the firm just less than one year.  </w:t>
      </w:r>
    </w:p>
    <w:p w:rsidR="00460CE6" w:rsidRPr="00460CE6" w:rsidRDefault="00460CE6" w:rsidP="00460CE6">
      <w:pPr>
        <w:spacing w:line="360" w:lineRule="auto"/>
        <w:rPr>
          <w:rFonts w:asciiTheme="majorHAnsi" w:hAnsiTheme="majorHAnsi"/>
          <w:sz w:val="36"/>
          <w:szCs w:val="36"/>
        </w:rPr>
      </w:pPr>
    </w:p>
    <w:p w:rsidR="00460CE6" w:rsidRPr="00460CE6" w:rsidRDefault="00460CE6" w:rsidP="00460CE6">
      <w:pPr>
        <w:spacing w:line="360" w:lineRule="auto"/>
        <w:rPr>
          <w:rFonts w:asciiTheme="majorHAnsi" w:hAnsiTheme="majorHAnsi"/>
          <w:sz w:val="36"/>
          <w:szCs w:val="36"/>
        </w:rPr>
      </w:pPr>
      <w:r w:rsidRPr="00460CE6">
        <w:rPr>
          <w:rFonts w:asciiTheme="majorHAnsi" w:hAnsiTheme="majorHAnsi"/>
          <w:sz w:val="36"/>
          <w:szCs w:val="36"/>
        </w:rPr>
        <w:t xml:space="preserve">In March 1987, he joined the Monroe County District Attorney’s Office as an Assistant District Attorney.  He began prosecuting misdemeanor cases in local criminal courts and then served as a trial attorney in the felony DWI, County Court, and Major Felony Bureaus, prosecuting and trying felony cases.  In 1992, he served as Chief of the DWI Bureau, supervising attorneys prosecuting felony DWI cases and </w:t>
      </w:r>
      <w:r w:rsidRPr="00460CE6">
        <w:rPr>
          <w:rFonts w:asciiTheme="majorHAnsi" w:hAnsiTheme="majorHAnsi"/>
          <w:sz w:val="36"/>
          <w:szCs w:val="36"/>
        </w:rPr>
        <w:lastRenderedPageBreak/>
        <w:t xml:space="preserve">personally prosecuting DWI-related assault and homicide cases.  From 1993 to 2000, Mr. Green was the Deputy Chief of the Major Felony Bureau and the Capital Crimes Prosecutor.  He assisted with supervisory duties of the Major Felony Bureau and prosecuted capital, homicide, and high-profile violent felony cases.  </w:t>
      </w:r>
    </w:p>
    <w:p w:rsidR="00460CE6" w:rsidRPr="00460CE6" w:rsidRDefault="00460CE6" w:rsidP="00460CE6">
      <w:pPr>
        <w:spacing w:line="360" w:lineRule="auto"/>
        <w:rPr>
          <w:rFonts w:asciiTheme="majorHAnsi" w:hAnsiTheme="majorHAnsi"/>
          <w:sz w:val="36"/>
          <w:szCs w:val="36"/>
        </w:rPr>
      </w:pPr>
    </w:p>
    <w:p w:rsidR="00460CE6" w:rsidRPr="00460CE6" w:rsidRDefault="00460CE6" w:rsidP="00460CE6">
      <w:pPr>
        <w:spacing w:line="360" w:lineRule="auto"/>
        <w:rPr>
          <w:rFonts w:asciiTheme="majorHAnsi" w:hAnsiTheme="majorHAnsi"/>
          <w:sz w:val="36"/>
          <w:szCs w:val="36"/>
        </w:rPr>
      </w:pPr>
      <w:r w:rsidRPr="00460CE6">
        <w:rPr>
          <w:rFonts w:asciiTheme="majorHAnsi" w:hAnsiTheme="majorHAnsi"/>
          <w:sz w:val="36"/>
          <w:szCs w:val="36"/>
        </w:rPr>
        <w:t>In 2001, Mr. Green became the First Assistant District Attorney of Monroe County.  His responsibilities included supervising homicide prosecutions</w:t>
      </w:r>
      <w:r>
        <w:rPr>
          <w:rFonts w:asciiTheme="majorHAnsi" w:hAnsiTheme="majorHAnsi"/>
          <w:sz w:val="36"/>
          <w:szCs w:val="36"/>
        </w:rPr>
        <w:t xml:space="preserve">, </w:t>
      </w:r>
      <w:r w:rsidRPr="00460CE6">
        <w:rPr>
          <w:rFonts w:asciiTheme="majorHAnsi" w:hAnsiTheme="majorHAnsi"/>
          <w:sz w:val="36"/>
          <w:szCs w:val="36"/>
        </w:rPr>
        <w:t>assisting the District Attorney with administration of the office,</w:t>
      </w:r>
      <w:r>
        <w:rPr>
          <w:rFonts w:asciiTheme="majorHAnsi" w:hAnsiTheme="majorHAnsi"/>
          <w:sz w:val="36"/>
          <w:szCs w:val="36"/>
        </w:rPr>
        <w:t xml:space="preserve"> and </w:t>
      </w:r>
      <w:r w:rsidRPr="00460CE6">
        <w:rPr>
          <w:rFonts w:asciiTheme="majorHAnsi" w:hAnsiTheme="majorHAnsi"/>
          <w:sz w:val="36"/>
          <w:szCs w:val="36"/>
        </w:rPr>
        <w:t>prosecut</w:t>
      </w:r>
      <w:r>
        <w:rPr>
          <w:rFonts w:asciiTheme="majorHAnsi" w:hAnsiTheme="majorHAnsi"/>
          <w:sz w:val="36"/>
          <w:szCs w:val="36"/>
        </w:rPr>
        <w:t>ing</w:t>
      </w:r>
      <w:r w:rsidRPr="00460CE6">
        <w:rPr>
          <w:rFonts w:asciiTheme="majorHAnsi" w:hAnsiTheme="majorHAnsi"/>
          <w:sz w:val="36"/>
          <w:szCs w:val="36"/>
        </w:rPr>
        <w:t xml:space="preserve"> homicide and high-profile violent felony cases.  </w:t>
      </w:r>
    </w:p>
    <w:p w:rsidR="00460CE6" w:rsidRPr="00460CE6" w:rsidRDefault="00460CE6" w:rsidP="00460CE6">
      <w:pPr>
        <w:spacing w:line="360" w:lineRule="auto"/>
        <w:rPr>
          <w:rFonts w:asciiTheme="majorHAnsi" w:hAnsiTheme="majorHAnsi"/>
          <w:sz w:val="36"/>
          <w:szCs w:val="36"/>
        </w:rPr>
      </w:pPr>
    </w:p>
    <w:p w:rsidR="00CD2BDB" w:rsidRPr="000640D1" w:rsidRDefault="00460CE6" w:rsidP="00460CE6">
      <w:pPr>
        <w:spacing w:line="360" w:lineRule="auto"/>
        <w:rPr>
          <w:rFonts w:asciiTheme="majorHAnsi" w:hAnsiTheme="majorHAnsi"/>
          <w:sz w:val="36"/>
          <w:szCs w:val="36"/>
        </w:rPr>
      </w:pPr>
      <w:r w:rsidRPr="00460CE6">
        <w:rPr>
          <w:rFonts w:asciiTheme="majorHAnsi" w:hAnsiTheme="majorHAnsi"/>
          <w:sz w:val="36"/>
          <w:szCs w:val="36"/>
        </w:rPr>
        <w:t xml:space="preserve">In 2004, Mr. Green was elected to a four-year term as District Attorney of Monroe County.  He was re-elected in 2008. </w:t>
      </w:r>
      <w:r>
        <w:rPr>
          <w:rFonts w:asciiTheme="majorHAnsi" w:hAnsiTheme="majorHAnsi"/>
          <w:sz w:val="36"/>
          <w:szCs w:val="36"/>
        </w:rPr>
        <w:t xml:space="preserve"> A majority of t</w:t>
      </w:r>
      <w:r w:rsidRPr="00460CE6">
        <w:rPr>
          <w:rFonts w:asciiTheme="majorHAnsi" w:hAnsiTheme="majorHAnsi"/>
          <w:sz w:val="36"/>
          <w:szCs w:val="36"/>
        </w:rPr>
        <w:t>he ABA Standing Committee on the Federal Judiciary</w:t>
      </w:r>
      <w:r>
        <w:rPr>
          <w:rFonts w:asciiTheme="majorHAnsi" w:hAnsiTheme="majorHAnsi"/>
          <w:sz w:val="36"/>
          <w:szCs w:val="36"/>
        </w:rPr>
        <w:t xml:space="preserve"> rated Mr. Green as</w:t>
      </w:r>
      <w:r w:rsidRPr="00460CE6">
        <w:rPr>
          <w:rFonts w:asciiTheme="majorHAnsi" w:hAnsiTheme="majorHAnsi"/>
          <w:sz w:val="36"/>
          <w:szCs w:val="36"/>
        </w:rPr>
        <w:t xml:space="preserve"> “Qualified”</w:t>
      </w:r>
      <w:r w:rsidR="00806FF1" w:rsidRPr="00460CE6">
        <w:rPr>
          <w:rFonts w:asciiTheme="majorHAnsi" w:hAnsiTheme="majorHAnsi"/>
          <w:sz w:val="36"/>
          <w:szCs w:val="36"/>
        </w:rPr>
        <w:t xml:space="preserve">; </w:t>
      </w:r>
      <w:r w:rsidR="00806FF1">
        <w:rPr>
          <w:rFonts w:asciiTheme="majorHAnsi" w:hAnsiTheme="majorHAnsi"/>
          <w:sz w:val="36"/>
          <w:szCs w:val="36"/>
        </w:rPr>
        <w:t>a</w:t>
      </w:r>
      <w:r>
        <w:rPr>
          <w:rFonts w:asciiTheme="majorHAnsi" w:hAnsiTheme="majorHAnsi"/>
          <w:sz w:val="36"/>
          <w:szCs w:val="36"/>
        </w:rPr>
        <w:t xml:space="preserve"> minority rated him </w:t>
      </w:r>
      <w:r w:rsidRPr="00460CE6">
        <w:rPr>
          <w:rFonts w:asciiTheme="majorHAnsi" w:hAnsiTheme="majorHAnsi"/>
          <w:sz w:val="36"/>
          <w:szCs w:val="36"/>
        </w:rPr>
        <w:t>“Not Qualified</w:t>
      </w:r>
      <w:r>
        <w:rPr>
          <w:rFonts w:asciiTheme="majorHAnsi" w:hAnsiTheme="majorHAnsi"/>
          <w:sz w:val="36"/>
          <w:szCs w:val="36"/>
        </w:rPr>
        <w:t>.</w:t>
      </w:r>
      <w:r w:rsidRPr="00460CE6">
        <w:rPr>
          <w:rFonts w:asciiTheme="majorHAnsi" w:hAnsiTheme="majorHAnsi"/>
          <w:sz w:val="36"/>
          <w:szCs w:val="36"/>
        </w:rPr>
        <w:t>”</w:t>
      </w:r>
      <w:r>
        <w:rPr>
          <w:rFonts w:asciiTheme="majorHAnsi" w:hAnsiTheme="majorHAnsi"/>
          <w:sz w:val="36"/>
          <w:szCs w:val="36"/>
        </w:rPr>
        <w:t xml:space="preserve"> </w:t>
      </w:r>
    </w:p>
    <w:p w:rsidR="00D05A1A" w:rsidRDefault="00D05A1A" w:rsidP="000640D1">
      <w:pPr>
        <w:spacing w:line="360" w:lineRule="auto"/>
        <w:rPr>
          <w:rFonts w:asciiTheme="majorHAnsi" w:hAnsiTheme="majorHAnsi"/>
          <w:sz w:val="36"/>
          <w:szCs w:val="36"/>
        </w:rPr>
      </w:pPr>
    </w:p>
    <w:p w:rsidR="00460CE6" w:rsidRPr="00460CE6" w:rsidRDefault="006C52F0" w:rsidP="00460CE6">
      <w:pPr>
        <w:spacing w:line="360" w:lineRule="auto"/>
        <w:rPr>
          <w:rFonts w:asciiTheme="majorHAnsi" w:hAnsiTheme="majorHAnsi"/>
          <w:sz w:val="36"/>
          <w:szCs w:val="36"/>
        </w:rPr>
      </w:pPr>
      <w:r>
        <w:rPr>
          <w:rFonts w:asciiTheme="majorHAnsi" w:hAnsiTheme="majorHAnsi"/>
          <w:sz w:val="36"/>
          <w:szCs w:val="36"/>
        </w:rPr>
        <w:lastRenderedPageBreak/>
        <w:t>Marina Garcia Marmolejo is nominated to be United States District Judge for the Southern District of Texas.  She</w:t>
      </w:r>
      <w:r w:rsidR="00460CE6" w:rsidRPr="00460CE6">
        <w:rPr>
          <w:rFonts w:asciiTheme="majorHAnsi" w:hAnsiTheme="majorHAnsi"/>
          <w:sz w:val="36"/>
          <w:szCs w:val="36"/>
        </w:rPr>
        <w:t xml:space="preserve"> received her B.A. from the University of Incarnate Word in 1992, her M.A. from St. Mary’s University Graduate School in 1996, and her J.D., </w:t>
      </w:r>
      <w:r w:rsidR="00460CE6" w:rsidRPr="00460CE6">
        <w:rPr>
          <w:rFonts w:asciiTheme="majorHAnsi" w:hAnsiTheme="majorHAnsi"/>
          <w:i/>
          <w:sz w:val="36"/>
          <w:szCs w:val="36"/>
        </w:rPr>
        <w:t>cum laude</w:t>
      </w:r>
      <w:r w:rsidR="00460CE6" w:rsidRPr="00460CE6">
        <w:rPr>
          <w:rFonts w:asciiTheme="majorHAnsi" w:hAnsiTheme="majorHAnsi"/>
          <w:sz w:val="36"/>
          <w:szCs w:val="36"/>
        </w:rPr>
        <w:t xml:space="preserve">, from St. Mary’s School of Law in 1996.  After graduating from law school, Ms. Marmolejo joined the Federal Public Defender’s Office for the Western District of Texas as an Assistant Public Defender where she remained until 1998.  She then moved to the Federal Public Defender’s Office for the Southern District of Texas where she again served as an Assistant Public Defender until 1999.  In these positions, Ms. Marmolejo represented indigent clients charged with federal felonies and misdemeanors. </w:t>
      </w:r>
    </w:p>
    <w:p w:rsidR="00460CE6" w:rsidRPr="00460CE6" w:rsidRDefault="00460CE6" w:rsidP="00460CE6">
      <w:pPr>
        <w:spacing w:line="360" w:lineRule="auto"/>
        <w:rPr>
          <w:rFonts w:asciiTheme="majorHAnsi" w:hAnsiTheme="majorHAnsi"/>
          <w:sz w:val="36"/>
          <w:szCs w:val="36"/>
        </w:rPr>
      </w:pPr>
    </w:p>
    <w:p w:rsidR="00460CE6" w:rsidRPr="00460CE6" w:rsidRDefault="00460CE6" w:rsidP="00460CE6">
      <w:pPr>
        <w:spacing w:line="360" w:lineRule="auto"/>
        <w:rPr>
          <w:rFonts w:asciiTheme="majorHAnsi" w:hAnsiTheme="majorHAnsi"/>
          <w:sz w:val="36"/>
          <w:szCs w:val="36"/>
        </w:rPr>
      </w:pPr>
      <w:r w:rsidRPr="00460CE6">
        <w:rPr>
          <w:rFonts w:asciiTheme="majorHAnsi" w:hAnsiTheme="majorHAnsi"/>
          <w:sz w:val="36"/>
          <w:szCs w:val="36"/>
        </w:rPr>
        <w:tab/>
        <w:t xml:space="preserve">In 1999, Ms. Marmolejo worked briefly for the law offices of Jesus M. Dominguez before becoming an Assistant United States Attorney (AUSA) in the U.S. Attorney’s Office for the Southern District of Texas.  As an AUSA, Ms. Marmolejo was assigned to the Organized Crime Drug Enforcement Task Force (OCDETF) where she handled </w:t>
      </w:r>
      <w:r w:rsidRPr="00460CE6">
        <w:rPr>
          <w:rFonts w:asciiTheme="majorHAnsi" w:hAnsiTheme="majorHAnsi"/>
          <w:sz w:val="36"/>
          <w:szCs w:val="36"/>
        </w:rPr>
        <w:lastRenderedPageBreak/>
        <w:t xml:space="preserve">complex narcotics cases and money laundering investigations.  Ms. Marmolejo was also recruited by the U.S. Department of Justice on several occasions to teach trial advocacy skills to foreign prosecutors and agents in Columbia and the Dominican Republic. </w:t>
      </w:r>
    </w:p>
    <w:p w:rsidR="00460CE6" w:rsidRPr="00460CE6" w:rsidRDefault="00460CE6" w:rsidP="00460CE6">
      <w:pPr>
        <w:spacing w:line="360" w:lineRule="auto"/>
        <w:rPr>
          <w:rFonts w:asciiTheme="majorHAnsi" w:hAnsiTheme="majorHAnsi"/>
          <w:sz w:val="36"/>
          <w:szCs w:val="36"/>
        </w:rPr>
      </w:pPr>
    </w:p>
    <w:p w:rsidR="00460CE6" w:rsidRDefault="00460CE6" w:rsidP="00460CE6">
      <w:pPr>
        <w:spacing w:line="360" w:lineRule="auto"/>
        <w:rPr>
          <w:rFonts w:asciiTheme="majorHAnsi" w:hAnsiTheme="majorHAnsi"/>
          <w:sz w:val="36"/>
          <w:szCs w:val="36"/>
        </w:rPr>
      </w:pPr>
      <w:r w:rsidRPr="00460CE6">
        <w:rPr>
          <w:rFonts w:asciiTheme="majorHAnsi" w:hAnsiTheme="majorHAnsi"/>
          <w:sz w:val="36"/>
          <w:szCs w:val="36"/>
        </w:rPr>
        <w:tab/>
        <w:t xml:space="preserve">Ms. Marmolejo transitioned into private practice in 2007, joining Thompson &amp; Knight LLP, a white collar defense firm, as Of Counsel.  In 2009, she joined Diamond McCarthy LLP as Of Counsel and became a partner later that year. </w:t>
      </w:r>
      <w:r w:rsidR="006C52F0">
        <w:rPr>
          <w:rFonts w:asciiTheme="majorHAnsi" w:hAnsiTheme="majorHAnsi"/>
          <w:sz w:val="36"/>
          <w:szCs w:val="36"/>
        </w:rPr>
        <w:t xml:space="preserve"> She</w:t>
      </w:r>
      <w:r w:rsidRPr="00460CE6">
        <w:rPr>
          <w:rFonts w:asciiTheme="majorHAnsi" w:hAnsiTheme="majorHAnsi"/>
          <w:sz w:val="36"/>
          <w:szCs w:val="36"/>
        </w:rPr>
        <w:t xml:space="preserve"> is currently employed as a partner with Reid Davis LLP.  She describes her current practice as focusing on complex commercial cases, frequently involving the investigation and prosecution of civil RICO claims on behalf of foreign sovereigns impacted by illegal smuggling of goods by multi-national companies engaged in money laundering activities</w:t>
      </w:r>
      <w:r w:rsidR="006C52F0">
        <w:rPr>
          <w:rFonts w:asciiTheme="majorHAnsi" w:hAnsiTheme="majorHAnsi"/>
          <w:sz w:val="36"/>
          <w:szCs w:val="36"/>
        </w:rPr>
        <w:t>.  Ms. Marmolejo has received a unanimous rating from the ABA Standing Committee on the Federal Judiciary as “Qualified.”</w:t>
      </w:r>
    </w:p>
    <w:p w:rsidR="006C52F0" w:rsidRDefault="006C52F0" w:rsidP="00460CE6">
      <w:pPr>
        <w:spacing w:line="360" w:lineRule="auto"/>
        <w:rPr>
          <w:rFonts w:asciiTheme="majorHAnsi" w:hAnsiTheme="majorHAnsi"/>
          <w:sz w:val="36"/>
          <w:szCs w:val="36"/>
        </w:rPr>
      </w:pPr>
    </w:p>
    <w:p w:rsidR="006C52F0" w:rsidRPr="006C52F0" w:rsidRDefault="006C52F0" w:rsidP="006C52F0">
      <w:pPr>
        <w:spacing w:line="360" w:lineRule="auto"/>
        <w:rPr>
          <w:rFonts w:asciiTheme="majorHAnsi" w:hAnsiTheme="majorHAnsi"/>
          <w:sz w:val="36"/>
          <w:szCs w:val="36"/>
        </w:rPr>
      </w:pPr>
      <w:r w:rsidRPr="006C52F0">
        <w:rPr>
          <w:rFonts w:asciiTheme="majorHAnsi" w:hAnsiTheme="majorHAnsi"/>
          <w:sz w:val="36"/>
          <w:szCs w:val="36"/>
        </w:rPr>
        <w:lastRenderedPageBreak/>
        <w:t xml:space="preserve">Wilma Antoinette </w:t>
      </w:r>
      <w:r w:rsidR="00806FF1" w:rsidRPr="006C52F0">
        <w:rPr>
          <w:rFonts w:asciiTheme="majorHAnsi" w:hAnsiTheme="majorHAnsi"/>
          <w:sz w:val="36"/>
          <w:szCs w:val="36"/>
        </w:rPr>
        <w:t>Lewis</w:t>
      </w:r>
      <w:r w:rsidRPr="006C52F0">
        <w:rPr>
          <w:rFonts w:asciiTheme="majorHAnsi" w:hAnsiTheme="majorHAnsi"/>
          <w:sz w:val="36"/>
          <w:szCs w:val="36"/>
        </w:rPr>
        <w:t xml:space="preserve"> </w:t>
      </w:r>
      <w:r>
        <w:rPr>
          <w:rFonts w:asciiTheme="majorHAnsi" w:hAnsiTheme="majorHAnsi"/>
          <w:sz w:val="36"/>
          <w:szCs w:val="36"/>
        </w:rPr>
        <w:t xml:space="preserve">is </w:t>
      </w:r>
      <w:r w:rsidRPr="006C52F0">
        <w:rPr>
          <w:rFonts w:asciiTheme="majorHAnsi" w:hAnsiTheme="majorHAnsi"/>
          <w:sz w:val="36"/>
          <w:szCs w:val="36"/>
        </w:rPr>
        <w:t>nominated to be Judge for the District Court of the Virgin Islands for a term of ten years.</w:t>
      </w:r>
    </w:p>
    <w:p w:rsidR="006C52F0" w:rsidRPr="006C52F0" w:rsidRDefault="006C52F0" w:rsidP="006C52F0">
      <w:pPr>
        <w:spacing w:line="360" w:lineRule="auto"/>
        <w:rPr>
          <w:rFonts w:asciiTheme="majorHAnsi" w:hAnsiTheme="majorHAnsi"/>
          <w:sz w:val="36"/>
          <w:szCs w:val="36"/>
        </w:rPr>
      </w:pPr>
      <w:r w:rsidRPr="006C52F0">
        <w:rPr>
          <w:rFonts w:asciiTheme="majorHAnsi" w:hAnsiTheme="majorHAnsi"/>
          <w:sz w:val="36"/>
          <w:szCs w:val="36"/>
        </w:rPr>
        <w:t>Wilma Lewis received her B.A. from Swarthmore in 1978 and her J.D. from Harvard Law School in 1981.  Following law school, Ms. Lewis worked as an associate at the Washington law firm of Steptoe &amp; Johnson.  She focused on legal research, drafting of legal documents, and managed small insurance cases while at the firm.  In 1986, she departed private practice to serve as an Assistant U.S. Attorney for the U.S. Attorney’s Office in Washington, D.C., where she focused on civil matters.</w:t>
      </w:r>
    </w:p>
    <w:p w:rsidR="006C52F0" w:rsidRPr="006C52F0" w:rsidRDefault="006C52F0" w:rsidP="006C52F0">
      <w:pPr>
        <w:spacing w:line="360" w:lineRule="auto"/>
        <w:rPr>
          <w:rFonts w:asciiTheme="majorHAnsi" w:hAnsiTheme="majorHAnsi"/>
          <w:sz w:val="36"/>
          <w:szCs w:val="36"/>
        </w:rPr>
      </w:pPr>
    </w:p>
    <w:p w:rsidR="006C52F0" w:rsidRDefault="006C52F0" w:rsidP="006C52F0">
      <w:pPr>
        <w:spacing w:line="360" w:lineRule="auto"/>
        <w:rPr>
          <w:rFonts w:asciiTheme="majorHAnsi" w:hAnsiTheme="majorHAnsi"/>
          <w:sz w:val="36"/>
          <w:szCs w:val="36"/>
        </w:rPr>
      </w:pPr>
      <w:r w:rsidRPr="006C52F0">
        <w:rPr>
          <w:rFonts w:asciiTheme="majorHAnsi" w:hAnsiTheme="majorHAnsi"/>
          <w:sz w:val="36"/>
          <w:szCs w:val="36"/>
        </w:rPr>
        <w:t xml:space="preserve">After working as a federal prosecutor, Ms. Lewis moved to the Department of the Interior in 1993, where she first served as Associate Solicitor.  In 1995, she was confirmed by the United States Senate, and appointed by President Clinton, to be Inspector General of the Department of Interior.  In 1998, after Senate confirmation, President Clinton appointed Ms. Lewis to be United States Attorney for the District of Columbia.  She served in that capacity for </w:t>
      </w:r>
      <w:r w:rsidRPr="006C52F0">
        <w:rPr>
          <w:rFonts w:asciiTheme="majorHAnsi" w:hAnsiTheme="majorHAnsi"/>
          <w:sz w:val="36"/>
          <w:szCs w:val="36"/>
        </w:rPr>
        <w:lastRenderedPageBreak/>
        <w:t>three years.  In 2001, she returned to private practice, joining Crowell &amp; Moring as a partner handling both civil and criminal matters.</w:t>
      </w:r>
    </w:p>
    <w:p w:rsidR="006C52F0" w:rsidRPr="006C52F0" w:rsidRDefault="006C52F0" w:rsidP="006C52F0">
      <w:pPr>
        <w:spacing w:line="360" w:lineRule="auto"/>
        <w:rPr>
          <w:rFonts w:asciiTheme="majorHAnsi" w:hAnsiTheme="majorHAnsi"/>
          <w:sz w:val="36"/>
          <w:szCs w:val="36"/>
        </w:rPr>
      </w:pPr>
    </w:p>
    <w:p w:rsidR="006C52F0" w:rsidRDefault="006C52F0" w:rsidP="006C52F0">
      <w:pPr>
        <w:spacing w:line="360" w:lineRule="auto"/>
        <w:rPr>
          <w:rFonts w:asciiTheme="majorHAnsi" w:hAnsiTheme="majorHAnsi"/>
          <w:sz w:val="36"/>
          <w:szCs w:val="36"/>
        </w:rPr>
      </w:pPr>
      <w:r w:rsidRPr="006C52F0">
        <w:rPr>
          <w:rFonts w:asciiTheme="majorHAnsi" w:hAnsiTheme="majorHAnsi"/>
          <w:sz w:val="36"/>
          <w:szCs w:val="36"/>
        </w:rPr>
        <w:t xml:space="preserve">In 2007, Ms. Lewis joined the Federal Home Loan Corporation (“Freddie Mac”) as managing associate general counsel in charge of litigation. </w:t>
      </w:r>
      <w:r>
        <w:rPr>
          <w:rFonts w:asciiTheme="majorHAnsi" w:hAnsiTheme="majorHAnsi"/>
          <w:sz w:val="36"/>
          <w:szCs w:val="36"/>
        </w:rPr>
        <w:t xml:space="preserve"> </w:t>
      </w:r>
      <w:r w:rsidRPr="006C52F0">
        <w:rPr>
          <w:rFonts w:asciiTheme="majorHAnsi" w:hAnsiTheme="majorHAnsi"/>
          <w:sz w:val="36"/>
          <w:szCs w:val="36"/>
        </w:rPr>
        <w:t>In 2009, after Senate confirmation, President Obama appointed Ms. Lewis to be Assistant Secretary for Land and Minerals Management at the Department of Interior.  She currently holds that position.</w:t>
      </w:r>
      <w:r>
        <w:rPr>
          <w:rFonts w:asciiTheme="majorHAnsi" w:hAnsiTheme="majorHAnsi"/>
          <w:sz w:val="36"/>
          <w:szCs w:val="36"/>
        </w:rPr>
        <w:t xml:space="preserve">  The ABA Standing Committee on the Federal Judiciary gave Ms. </w:t>
      </w:r>
      <w:bookmarkStart w:id="0" w:name="_GoBack"/>
      <w:bookmarkEnd w:id="0"/>
      <w:r w:rsidR="00806FF1">
        <w:rPr>
          <w:rFonts w:asciiTheme="majorHAnsi" w:hAnsiTheme="majorHAnsi"/>
          <w:sz w:val="36"/>
          <w:szCs w:val="36"/>
        </w:rPr>
        <w:t>Lewis a</w:t>
      </w:r>
      <w:r>
        <w:rPr>
          <w:rFonts w:asciiTheme="majorHAnsi" w:hAnsiTheme="majorHAnsi"/>
          <w:sz w:val="36"/>
          <w:szCs w:val="36"/>
        </w:rPr>
        <w:t xml:space="preserve"> unanimous rating of “Well Qualified.”</w:t>
      </w:r>
    </w:p>
    <w:p w:rsidR="006C52F0" w:rsidRDefault="006C52F0" w:rsidP="006C52F0">
      <w:pPr>
        <w:spacing w:line="360" w:lineRule="auto"/>
        <w:rPr>
          <w:rFonts w:asciiTheme="majorHAnsi" w:hAnsiTheme="majorHAnsi"/>
          <w:sz w:val="36"/>
          <w:szCs w:val="36"/>
        </w:rPr>
      </w:pPr>
    </w:p>
    <w:p w:rsidR="006C52F0" w:rsidRPr="006C52F0" w:rsidRDefault="006C52F0" w:rsidP="006C52F0">
      <w:pPr>
        <w:spacing w:line="360" w:lineRule="auto"/>
        <w:rPr>
          <w:rFonts w:asciiTheme="majorHAnsi" w:hAnsiTheme="majorHAnsi"/>
          <w:sz w:val="36"/>
          <w:szCs w:val="36"/>
        </w:rPr>
      </w:pPr>
      <w:r>
        <w:rPr>
          <w:rFonts w:asciiTheme="majorHAnsi" w:hAnsiTheme="majorHAnsi"/>
          <w:sz w:val="36"/>
          <w:szCs w:val="36"/>
        </w:rPr>
        <w:t xml:space="preserve"> </w:t>
      </w:r>
      <w:r w:rsidRPr="006C52F0">
        <w:rPr>
          <w:rFonts w:asciiTheme="majorHAnsi" w:hAnsiTheme="majorHAnsi"/>
          <w:sz w:val="36"/>
          <w:szCs w:val="36"/>
        </w:rPr>
        <w:t>Marilyn Ann Quagliotti</w:t>
      </w:r>
      <w:r>
        <w:rPr>
          <w:rFonts w:asciiTheme="majorHAnsi" w:hAnsiTheme="majorHAnsi"/>
          <w:sz w:val="36"/>
          <w:szCs w:val="36"/>
        </w:rPr>
        <w:t xml:space="preserve"> is</w:t>
      </w:r>
      <w:r w:rsidRPr="006C52F0">
        <w:rPr>
          <w:rFonts w:asciiTheme="majorHAnsi" w:hAnsiTheme="majorHAnsi"/>
          <w:sz w:val="36"/>
          <w:szCs w:val="36"/>
        </w:rPr>
        <w:t xml:space="preserve"> nominated to be Deputy Director for Supply </w:t>
      </w:r>
      <w:r w:rsidR="00806FF1" w:rsidRPr="006C52F0">
        <w:rPr>
          <w:rFonts w:asciiTheme="majorHAnsi" w:hAnsiTheme="majorHAnsi"/>
          <w:sz w:val="36"/>
          <w:szCs w:val="36"/>
        </w:rPr>
        <w:t>Reduction,</w:t>
      </w:r>
      <w:r w:rsidRPr="006C52F0">
        <w:rPr>
          <w:rFonts w:asciiTheme="majorHAnsi" w:hAnsiTheme="majorHAnsi"/>
          <w:sz w:val="36"/>
          <w:szCs w:val="36"/>
        </w:rPr>
        <w:t xml:space="preserve"> Office of National Drug Control Policy</w:t>
      </w:r>
      <w:r>
        <w:rPr>
          <w:rFonts w:asciiTheme="majorHAnsi" w:hAnsiTheme="majorHAnsi"/>
          <w:sz w:val="36"/>
          <w:szCs w:val="36"/>
        </w:rPr>
        <w:t>. She</w:t>
      </w:r>
      <w:r w:rsidRPr="006C52F0">
        <w:rPr>
          <w:rFonts w:asciiTheme="majorHAnsi" w:hAnsiTheme="majorHAnsi"/>
          <w:sz w:val="36"/>
          <w:szCs w:val="36"/>
        </w:rPr>
        <w:t xml:space="preserve"> received her B.S. from Louisiana State University in 1974 and an M.S. from National War College in 1994.  She began her long career in the United States Army in 1975 as Signal Officer.  She continued to climb the ranks and served as an </w:t>
      </w:r>
      <w:r w:rsidRPr="006C52F0">
        <w:rPr>
          <w:rFonts w:asciiTheme="majorHAnsi" w:hAnsiTheme="majorHAnsi"/>
          <w:sz w:val="36"/>
          <w:szCs w:val="36"/>
        </w:rPr>
        <w:lastRenderedPageBreak/>
        <w:t>Operations Officer, Commander Aide-de-Camp to Commanding General, a Platoon Leader, Commander, and finally Vice Director of the Defense Information Systems Agency.  The Defense Information Systems Agency is responsible for building and operating joint command, control, communications and computer capabilities within the Department of Defense’s transformation from platform to network operations.  She received an honorable discharge from the U.S. Army in 2007</w:t>
      </w:r>
      <w:r>
        <w:rPr>
          <w:rFonts w:asciiTheme="majorHAnsi" w:hAnsiTheme="majorHAnsi"/>
          <w:sz w:val="36"/>
          <w:szCs w:val="36"/>
        </w:rPr>
        <w:t>, retiring as a Major General.</w:t>
      </w:r>
      <w:r w:rsidRPr="006C52F0">
        <w:rPr>
          <w:rFonts w:asciiTheme="majorHAnsi" w:hAnsiTheme="majorHAnsi"/>
          <w:sz w:val="36"/>
          <w:szCs w:val="36"/>
        </w:rPr>
        <w:t xml:space="preserve">  </w:t>
      </w:r>
    </w:p>
    <w:p w:rsidR="006C52F0" w:rsidRPr="006C52F0" w:rsidRDefault="006C52F0" w:rsidP="006C52F0">
      <w:pPr>
        <w:spacing w:line="360" w:lineRule="auto"/>
        <w:rPr>
          <w:rFonts w:asciiTheme="majorHAnsi" w:hAnsiTheme="majorHAnsi"/>
          <w:sz w:val="36"/>
          <w:szCs w:val="36"/>
        </w:rPr>
      </w:pPr>
    </w:p>
    <w:p w:rsidR="00806FF1" w:rsidRDefault="00806FF1" w:rsidP="00806FF1">
      <w:pPr>
        <w:spacing w:line="360" w:lineRule="auto"/>
        <w:rPr>
          <w:rFonts w:asciiTheme="majorHAnsi" w:hAnsiTheme="majorHAnsi"/>
          <w:sz w:val="36"/>
          <w:szCs w:val="36"/>
        </w:rPr>
      </w:pPr>
      <w:r w:rsidRPr="00806FF1">
        <w:rPr>
          <w:rFonts w:asciiTheme="majorHAnsi" w:hAnsiTheme="majorHAnsi"/>
          <w:sz w:val="36"/>
          <w:szCs w:val="36"/>
        </w:rPr>
        <w:t xml:space="preserve">As the Commander 13th Signal Battalion, 1st Cavalry Division, Ft. Hood, Texas, she provided all communications support to the entire combat division (combat forces, intelligence, engineers, air defense artillery, etc.). As the Commander 106th Signal Brigade, Ft. Clayton, Panama, she was responsible for providing command, control, and communications support to the joint headquarters of Southern Command (SOUTHCOM) in Panama and all Army elements in the country. As Commander 5th Signal Command, Mannheim, Germany, she was responsible for C4 </w:t>
      </w:r>
      <w:r w:rsidRPr="00806FF1">
        <w:rPr>
          <w:rFonts w:asciiTheme="majorHAnsi" w:hAnsiTheme="majorHAnsi"/>
          <w:sz w:val="36"/>
          <w:szCs w:val="36"/>
        </w:rPr>
        <w:lastRenderedPageBreak/>
        <w:t>support to all joint headquarters in Europe as well as Army forces in the European theater and forces deployed from theater. She provided direct support to Central Command during the initial phases of Afghanistan operations.</w:t>
      </w:r>
    </w:p>
    <w:p w:rsidR="00806FF1" w:rsidRPr="00806FF1" w:rsidRDefault="00806FF1" w:rsidP="00806FF1">
      <w:pPr>
        <w:spacing w:line="360" w:lineRule="auto"/>
        <w:rPr>
          <w:rFonts w:asciiTheme="majorHAnsi" w:hAnsiTheme="majorHAnsi"/>
          <w:sz w:val="36"/>
          <w:szCs w:val="36"/>
        </w:rPr>
      </w:pPr>
    </w:p>
    <w:p w:rsidR="00806FF1" w:rsidRPr="00806FF1" w:rsidRDefault="00806FF1" w:rsidP="00806FF1">
      <w:pPr>
        <w:spacing w:line="360" w:lineRule="auto"/>
        <w:rPr>
          <w:rFonts w:asciiTheme="majorHAnsi" w:hAnsiTheme="majorHAnsi"/>
          <w:sz w:val="36"/>
          <w:szCs w:val="36"/>
        </w:rPr>
      </w:pPr>
      <w:r w:rsidRPr="00806FF1">
        <w:rPr>
          <w:rFonts w:asciiTheme="majorHAnsi" w:hAnsiTheme="majorHAnsi"/>
          <w:sz w:val="36"/>
          <w:szCs w:val="36"/>
        </w:rPr>
        <w:t>She was the first woman to command a battalion in a Combat Division; the first woman to be promoted to General Officer in the U.S Army Signal Corps; the first woman to be both the Operations Director and Vice Director of a major Defense Agency (DISA); and the first woman to be a General Officer Commander in Europe.</w:t>
      </w:r>
    </w:p>
    <w:p w:rsidR="006C52F0" w:rsidRPr="006C52F0" w:rsidRDefault="006C52F0" w:rsidP="006C52F0">
      <w:pPr>
        <w:spacing w:line="360" w:lineRule="auto"/>
        <w:rPr>
          <w:rFonts w:asciiTheme="majorHAnsi" w:hAnsiTheme="majorHAnsi"/>
          <w:sz w:val="36"/>
          <w:szCs w:val="36"/>
        </w:rPr>
      </w:pPr>
    </w:p>
    <w:p w:rsidR="006C52F0" w:rsidRPr="006C52F0" w:rsidRDefault="006C52F0" w:rsidP="006C52F0">
      <w:pPr>
        <w:spacing w:line="360" w:lineRule="auto"/>
        <w:rPr>
          <w:rFonts w:asciiTheme="majorHAnsi" w:hAnsiTheme="majorHAnsi"/>
          <w:sz w:val="36"/>
          <w:szCs w:val="36"/>
        </w:rPr>
      </w:pPr>
      <w:r w:rsidRPr="006C52F0">
        <w:rPr>
          <w:rFonts w:asciiTheme="majorHAnsi" w:hAnsiTheme="majorHAnsi"/>
          <w:sz w:val="36"/>
          <w:szCs w:val="36"/>
        </w:rPr>
        <w:t xml:space="preserve">From 2007 to 2010, Maj. Gen. Quagliotti worked at Deloitte Consulting.  She served as a Senior Manager from 2007 to 2009, and then as an Independent Contractor from 2009 to 2010.  Since 2009, she has also acted as an independent consultant.  Maj. Gen. Quagliotti joined the Durango Group as an Associate in June 2010, a post she holds to this day.  </w:t>
      </w:r>
    </w:p>
    <w:p w:rsidR="006C52F0" w:rsidRPr="006C52F0" w:rsidRDefault="006C52F0" w:rsidP="006C52F0">
      <w:pPr>
        <w:spacing w:line="360" w:lineRule="auto"/>
        <w:rPr>
          <w:rFonts w:asciiTheme="majorHAnsi" w:hAnsiTheme="majorHAnsi"/>
          <w:sz w:val="36"/>
          <w:szCs w:val="36"/>
        </w:rPr>
      </w:pPr>
    </w:p>
    <w:p w:rsidR="000640D1" w:rsidRPr="000640D1" w:rsidRDefault="000640D1" w:rsidP="000640D1">
      <w:pPr>
        <w:spacing w:line="360" w:lineRule="auto"/>
        <w:rPr>
          <w:rFonts w:asciiTheme="majorHAnsi" w:hAnsiTheme="majorHAnsi"/>
          <w:sz w:val="36"/>
          <w:szCs w:val="36"/>
        </w:rPr>
      </w:pPr>
    </w:p>
    <w:sectPr w:rsidR="000640D1" w:rsidRPr="000640D1" w:rsidSect="00035B62">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52F0" w:rsidRDefault="006C52F0" w:rsidP="00194B7B">
      <w:r>
        <w:separator/>
      </w:r>
    </w:p>
  </w:endnote>
  <w:endnote w:type="continuationSeparator" w:id="0">
    <w:p w:rsidR="006C52F0" w:rsidRDefault="006C52F0" w:rsidP="00194B7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8391509"/>
      <w:docPartObj>
        <w:docPartGallery w:val="Page Numbers (Bottom of Page)"/>
        <w:docPartUnique/>
      </w:docPartObj>
    </w:sdtPr>
    <w:sdtEndPr>
      <w:rPr>
        <w:noProof/>
      </w:rPr>
    </w:sdtEndPr>
    <w:sdtContent>
      <w:p w:rsidR="006C52F0" w:rsidRDefault="00362530">
        <w:pPr>
          <w:pStyle w:val="Footer"/>
          <w:jc w:val="center"/>
        </w:pPr>
        <w:r>
          <w:fldChar w:fldCharType="begin"/>
        </w:r>
        <w:r w:rsidR="006C52F0">
          <w:instrText xml:space="preserve"> PAGE   \* MERGEFORMAT </w:instrText>
        </w:r>
        <w:r>
          <w:fldChar w:fldCharType="separate"/>
        </w:r>
        <w:r w:rsidR="000878B6">
          <w:rPr>
            <w:noProof/>
          </w:rPr>
          <w:t>11</w:t>
        </w:r>
        <w:r>
          <w:rPr>
            <w:noProof/>
          </w:rPr>
          <w:fldChar w:fldCharType="end"/>
        </w:r>
      </w:p>
    </w:sdtContent>
  </w:sdt>
  <w:p w:rsidR="006C52F0" w:rsidRDefault="006C52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52F0" w:rsidRDefault="006C52F0" w:rsidP="00194B7B">
      <w:r>
        <w:separator/>
      </w:r>
    </w:p>
  </w:footnote>
  <w:footnote w:type="continuationSeparator" w:id="0">
    <w:p w:rsidR="006C52F0" w:rsidRDefault="006C52F0" w:rsidP="00194B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7A3541"/>
    <w:multiLevelType w:val="hybridMultilevel"/>
    <w:tmpl w:val="8168E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82B7A"/>
    <w:rsid w:val="00035B62"/>
    <w:rsid w:val="000640D1"/>
    <w:rsid w:val="000878B6"/>
    <w:rsid w:val="00194B7B"/>
    <w:rsid w:val="0033226C"/>
    <w:rsid w:val="00362530"/>
    <w:rsid w:val="00382B7A"/>
    <w:rsid w:val="00440FDA"/>
    <w:rsid w:val="00460CE6"/>
    <w:rsid w:val="004948C8"/>
    <w:rsid w:val="00505769"/>
    <w:rsid w:val="00523AD4"/>
    <w:rsid w:val="005D756D"/>
    <w:rsid w:val="005F519C"/>
    <w:rsid w:val="006C52F0"/>
    <w:rsid w:val="00755270"/>
    <w:rsid w:val="007D797C"/>
    <w:rsid w:val="00806FF1"/>
    <w:rsid w:val="00973C32"/>
    <w:rsid w:val="00AF4183"/>
    <w:rsid w:val="00BD2D45"/>
    <w:rsid w:val="00BF0460"/>
    <w:rsid w:val="00CD2BDB"/>
    <w:rsid w:val="00D05A1A"/>
    <w:rsid w:val="00D06466"/>
    <w:rsid w:val="00DF421B"/>
    <w:rsid w:val="00E36AFF"/>
    <w:rsid w:val="00E3711B"/>
    <w:rsid w:val="00F77988"/>
    <w:rsid w:val="00FC65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183"/>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E36AFF"/>
    <w:pPr>
      <w:spacing w:before="100" w:beforeAutospacing="1" w:after="100" w:afterAutospacing="1"/>
      <w:outlineLvl w:val="1"/>
    </w:pPr>
    <w:rPr>
      <w:b/>
      <w:bCs/>
      <w:color w:val="000000" w:themeColor="text1"/>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6AFF"/>
    <w:rPr>
      <w:rFonts w:ascii="Times New Roman" w:eastAsia="Times New Roman" w:hAnsi="Times New Roman" w:cs="Times New Roman"/>
      <w:b/>
      <w:bCs/>
      <w:sz w:val="36"/>
      <w:szCs w:val="36"/>
    </w:rPr>
  </w:style>
  <w:style w:type="character" w:styleId="Strong">
    <w:name w:val="Strong"/>
    <w:basedOn w:val="DefaultParagraphFont"/>
    <w:uiPriority w:val="22"/>
    <w:qFormat/>
    <w:rsid w:val="00E36AFF"/>
    <w:rPr>
      <w:b/>
      <w:bCs/>
    </w:rPr>
  </w:style>
  <w:style w:type="character" w:styleId="Emphasis">
    <w:name w:val="Emphasis"/>
    <w:basedOn w:val="DefaultParagraphFont"/>
    <w:uiPriority w:val="20"/>
    <w:qFormat/>
    <w:rsid w:val="00E36AFF"/>
    <w:rPr>
      <w:i/>
      <w:iCs/>
    </w:rPr>
  </w:style>
  <w:style w:type="paragraph" w:styleId="NoSpacing">
    <w:name w:val="No Spacing"/>
    <w:uiPriority w:val="1"/>
    <w:qFormat/>
    <w:rsid w:val="00E36AFF"/>
    <w:pPr>
      <w:spacing w:after="0" w:line="240" w:lineRule="auto"/>
    </w:pPr>
    <w:rPr>
      <w:rFonts w:ascii="Times New Roman" w:hAnsi="Times New Roman"/>
      <w:color w:val="000000" w:themeColor="text1"/>
      <w:sz w:val="24"/>
    </w:rPr>
  </w:style>
  <w:style w:type="paragraph" w:styleId="FootnoteText">
    <w:name w:val="footnote text"/>
    <w:basedOn w:val="Normal"/>
    <w:link w:val="FootnoteTextChar"/>
    <w:uiPriority w:val="99"/>
    <w:semiHidden/>
    <w:unhideWhenUsed/>
    <w:rsid w:val="00194B7B"/>
    <w:rPr>
      <w:sz w:val="20"/>
      <w:szCs w:val="20"/>
    </w:rPr>
  </w:style>
  <w:style w:type="character" w:customStyle="1" w:styleId="FootnoteTextChar">
    <w:name w:val="Footnote Text Char"/>
    <w:basedOn w:val="DefaultParagraphFont"/>
    <w:link w:val="FootnoteText"/>
    <w:uiPriority w:val="99"/>
    <w:semiHidden/>
    <w:rsid w:val="00194B7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94B7B"/>
    <w:rPr>
      <w:vertAlign w:val="superscript"/>
    </w:rPr>
  </w:style>
  <w:style w:type="paragraph" w:styleId="Header">
    <w:name w:val="header"/>
    <w:basedOn w:val="Normal"/>
    <w:link w:val="HeaderChar"/>
    <w:uiPriority w:val="99"/>
    <w:unhideWhenUsed/>
    <w:rsid w:val="004948C8"/>
    <w:pPr>
      <w:tabs>
        <w:tab w:val="center" w:pos="4680"/>
        <w:tab w:val="right" w:pos="9360"/>
      </w:tabs>
    </w:pPr>
  </w:style>
  <w:style w:type="character" w:customStyle="1" w:styleId="HeaderChar">
    <w:name w:val="Header Char"/>
    <w:basedOn w:val="DefaultParagraphFont"/>
    <w:link w:val="Header"/>
    <w:uiPriority w:val="99"/>
    <w:rsid w:val="004948C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948C8"/>
    <w:pPr>
      <w:tabs>
        <w:tab w:val="center" w:pos="4680"/>
        <w:tab w:val="right" w:pos="9360"/>
      </w:tabs>
    </w:pPr>
  </w:style>
  <w:style w:type="character" w:customStyle="1" w:styleId="FooterChar">
    <w:name w:val="Footer Char"/>
    <w:basedOn w:val="DefaultParagraphFont"/>
    <w:link w:val="Footer"/>
    <w:uiPriority w:val="99"/>
    <w:rsid w:val="004948C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F421B"/>
    <w:rPr>
      <w:rFonts w:ascii="Tahoma" w:hAnsi="Tahoma" w:cs="Tahoma"/>
      <w:sz w:val="16"/>
      <w:szCs w:val="16"/>
    </w:rPr>
  </w:style>
  <w:style w:type="character" w:customStyle="1" w:styleId="BalloonTextChar">
    <w:name w:val="Balloon Text Char"/>
    <w:basedOn w:val="DefaultParagraphFont"/>
    <w:link w:val="BalloonText"/>
    <w:uiPriority w:val="99"/>
    <w:semiHidden/>
    <w:rsid w:val="00DF421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183"/>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E36AFF"/>
    <w:pPr>
      <w:spacing w:before="100" w:beforeAutospacing="1" w:after="100" w:afterAutospacing="1"/>
      <w:outlineLvl w:val="1"/>
    </w:pPr>
    <w:rPr>
      <w:b/>
      <w:bCs/>
      <w:color w:val="000000" w:themeColor="text1"/>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6AFF"/>
    <w:rPr>
      <w:rFonts w:ascii="Times New Roman" w:eastAsia="Times New Roman" w:hAnsi="Times New Roman" w:cs="Times New Roman"/>
      <w:b/>
      <w:bCs/>
      <w:sz w:val="36"/>
      <w:szCs w:val="36"/>
    </w:rPr>
  </w:style>
  <w:style w:type="character" w:styleId="Strong">
    <w:name w:val="Strong"/>
    <w:basedOn w:val="DefaultParagraphFont"/>
    <w:uiPriority w:val="22"/>
    <w:qFormat/>
    <w:rsid w:val="00E36AFF"/>
    <w:rPr>
      <w:b/>
      <w:bCs/>
    </w:rPr>
  </w:style>
  <w:style w:type="character" w:styleId="Emphasis">
    <w:name w:val="Emphasis"/>
    <w:basedOn w:val="DefaultParagraphFont"/>
    <w:uiPriority w:val="20"/>
    <w:qFormat/>
    <w:rsid w:val="00E36AFF"/>
    <w:rPr>
      <w:i/>
      <w:iCs/>
    </w:rPr>
  </w:style>
  <w:style w:type="paragraph" w:styleId="NoSpacing">
    <w:name w:val="No Spacing"/>
    <w:uiPriority w:val="1"/>
    <w:qFormat/>
    <w:rsid w:val="00E36AFF"/>
    <w:pPr>
      <w:spacing w:after="0" w:line="240" w:lineRule="auto"/>
    </w:pPr>
    <w:rPr>
      <w:rFonts w:ascii="Times New Roman" w:hAnsi="Times New Roman"/>
      <w:color w:val="000000" w:themeColor="text1"/>
      <w:sz w:val="24"/>
    </w:rPr>
  </w:style>
  <w:style w:type="paragraph" w:styleId="FootnoteText">
    <w:name w:val="footnote text"/>
    <w:basedOn w:val="Normal"/>
    <w:link w:val="FootnoteTextChar"/>
    <w:uiPriority w:val="99"/>
    <w:semiHidden/>
    <w:unhideWhenUsed/>
    <w:rsid w:val="00194B7B"/>
    <w:rPr>
      <w:sz w:val="20"/>
      <w:szCs w:val="20"/>
    </w:rPr>
  </w:style>
  <w:style w:type="character" w:customStyle="1" w:styleId="FootnoteTextChar">
    <w:name w:val="Footnote Text Char"/>
    <w:basedOn w:val="DefaultParagraphFont"/>
    <w:link w:val="FootnoteText"/>
    <w:uiPriority w:val="99"/>
    <w:semiHidden/>
    <w:rsid w:val="00194B7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94B7B"/>
    <w:rPr>
      <w:vertAlign w:val="superscript"/>
    </w:rPr>
  </w:style>
  <w:style w:type="paragraph" w:styleId="Header">
    <w:name w:val="header"/>
    <w:basedOn w:val="Normal"/>
    <w:link w:val="HeaderChar"/>
    <w:uiPriority w:val="99"/>
    <w:unhideWhenUsed/>
    <w:rsid w:val="004948C8"/>
    <w:pPr>
      <w:tabs>
        <w:tab w:val="center" w:pos="4680"/>
        <w:tab w:val="right" w:pos="9360"/>
      </w:tabs>
    </w:pPr>
  </w:style>
  <w:style w:type="character" w:customStyle="1" w:styleId="HeaderChar">
    <w:name w:val="Header Char"/>
    <w:basedOn w:val="DefaultParagraphFont"/>
    <w:link w:val="Header"/>
    <w:uiPriority w:val="99"/>
    <w:rsid w:val="004948C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948C8"/>
    <w:pPr>
      <w:tabs>
        <w:tab w:val="center" w:pos="4680"/>
        <w:tab w:val="right" w:pos="9360"/>
      </w:tabs>
    </w:pPr>
  </w:style>
  <w:style w:type="character" w:customStyle="1" w:styleId="FooterChar">
    <w:name w:val="Footer Char"/>
    <w:basedOn w:val="DefaultParagraphFont"/>
    <w:link w:val="Footer"/>
    <w:uiPriority w:val="99"/>
    <w:rsid w:val="004948C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F421B"/>
    <w:rPr>
      <w:rFonts w:ascii="Tahoma" w:hAnsi="Tahoma" w:cs="Tahoma"/>
      <w:sz w:val="16"/>
      <w:szCs w:val="16"/>
    </w:rPr>
  </w:style>
  <w:style w:type="character" w:customStyle="1" w:styleId="BalloonTextChar">
    <w:name w:val="Balloon Text Char"/>
    <w:basedOn w:val="DefaultParagraphFont"/>
    <w:link w:val="BalloonText"/>
    <w:uiPriority w:val="99"/>
    <w:semiHidden/>
    <w:rsid w:val="00DF421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8931776">
      <w:bodyDiv w:val="1"/>
      <w:marLeft w:val="0"/>
      <w:marRight w:val="0"/>
      <w:marTop w:val="0"/>
      <w:marBottom w:val="0"/>
      <w:divBdr>
        <w:top w:val="none" w:sz="0" w:space="0" w:color="auto"/>
        <w:left w:val="none" w:sz="0" w:space="0" w:color="auto"/>
        <w:bottom w:val="none" w:sz="0" w:space="0" w:color="auto"/>
        <w:right w:val="none" w:sz="0" w:space="0" w:color="auto"/>
      </w:divBdr>
    </w:div>
    <w:div w:id="1048459658">
      <w:bodyDiv w:val="1"/>
      <w:marLeft w:val="0"/>
      <w:marRight w:val="0"/>
      <w:marTop w:val="0"/>
      <w:marBottom w:val="0"/>
      <w:divBdr>
        <w:top w:val="none" w:sz="0" w:space="0" w:color="auto"/>
        <w:left w:val="none" w:sz="0" w:space="0" w:color="auto"/>
        <w:bottom w:val="none" w:sz="0" w:space="0" w:color="auto"/>
        <w:right w:val="none" w:sz="0" w:space="0" w:color="auto"/>
      </w:divBdr>
      <w:divsChild>
        <w:div w:id="1071587317">
          <w:marLeft w:val="0"/>
          <w:marRight w:val="0"/>
          <w:marTop w:val="0"/>
          <w:marBottom w:val="0"/>
          <w:divBdr>
            <w:top w:val="none" w:sz="0" w:space="0" w:color="auto"/>
            <w:left w:val="none" w:sz="0" w:space="0" w:color="auto"/>
            <w:bottom w:val="none" w:sz="0" w:space="0" w:color="auto"/>
            <w:right w:val="none" w:sz="0" w:space="0" w:color="auto"/>
          </w:divBdr>
          <w:divsChild>
            <w:div w:id="433749689">
              <w:marLeft w:val="0"/>
              <w:marRight w:val="0"/>
              <w:marTop w:val="0"/>
              <w:marBottom w:val="0"/>
              <w:divBdr>
                <w:top w:val="none" w:sz="0" w:space="0" w:color="auto"/>
                <w:left w:val="none" w:sz="0" w:space="0" w:color="auto"/>
                <w:bottom w:val="none" w:sz="0" w:space="0" w:color="auto"/>
                <w:right w:val="none" w:sz="0" w:space="0" w:color="auto"/>
              </w:divBdr>
              <w:divsChild>
                <w:div w:id="1676882131">
                  <w:marLeft w:val="0"/>
                  <w:marRight w:val="0"/>
                  <w:marTop w:val="0"/>
                  <w:marBottom w:val="0"/>
                  <w:divBdr>
                    <w:top w:val="none" w:sz="0" w:space="0" w:color="auto"/>
                    <w:left w:val="none" w:sz="0" w:space="0" w:color="auto"/>
                    <w:bottom w:val="none" w:sz="0" w:space="0" w:color="auto"/>
                    <w:right w:val="none" w:sz="0" w:space="0" w:color="auto"/>
                  </w:divBdr>
                  <w:divsChild>
                    <w:div w:id="385881776">
                      <w:marLeft w:val="0"/>
                      <w:marRight w:val="0"/>
                      <w:marTop w:val="0"/>
                      <w:marBottom w:val="0"/>
                      <w:divBdr>
                        <w:top w:val="none" w:sz="0" w:space="0" w:color="auto"/>
                        <w:left w:val="none" w:sz="0" w:space="0" w:color="auto"/>
                        <w:bottom w:val="none" w:sz="0" w:space="0" w:color="auto"/>
                        <w:right w:val="none" w:sz="0" w:space="0" w:color="auto"/>
                      </w:divBdr>
                      <w:divsChild>
                        <w:div w:id="596788676">
                          <w:marLeft w:val="0"/>
                          <w:marRight w:val="0"/>
                          <w:marTop w:val="0"/>
                          <w:marBottom w:val="0"/>
                          <w:divBdr>
                            <w:top w:val="none" w:sz="0" w:space="0" w:color="auto"/>
                            <w:left w:val="none" w:sz="0" w:space="0" w:color="auto"/>
                            <w:bottom w:val="none" w:sz="0" w:space="0" w:color="auto"/>
                            <w:right w:val="none" w:sz="0" w:space="0" w:color="auto"/>
                          </w:divBdr>
                          <w:divsChild>
                            <w:div w:id="5834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2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1589</Words>
  <Characters>9061</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10629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PastarnackL</dc:creator>
  <cp:lastModifiedBy>Windows User</cp:lastModifiedBy>
  <cp:revision>2</cp:revision>
  <cp:lastPrinted>2011-05-03T21:48:00Z</cp:lastPrinted>
  <dcterms:created xsi:type="dcterms:W3CDTF">2011-08-15T15:49:00Z</dcterms:created>
  <dcterms:modified xsi:type="dcterms:W3CDTF">2011-08-15T15:49:00Z</dcterms:modified>
</cp:coreProperties>
</file>