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5CE" w:rsidRPr="00272CA7" w:rsidRDefault="005175CE" w:rsidP="005175CE">
      <w:pPr>
        <w:jc w:val="center"/>
        <w:rPr>
          <w:rFonts w:asciiTheme="majorHAnsi" w:hAnsiTheme="majorHAnsi" w:cs="Times New Roman"/>
          <w:b/>
          <w:bCs/>
          <w:sz w:val="28"/>
          <w:szCs w:val="28"/>
          <w:lang w:val="en-CA"/>
        </w:rPr>
      </w:pPr>
      <w:bookmarkStart w:id="0" w:name="_GoBack"/>
      <w:bookmarkEnd w:id="0"/>
      <w:r w:rsidRPr="00272CA7">
        <w:rPr>
          <w:rFonts w:asciiTheme="majorHAnsi" w:hAnsiTheme="majorHAnsi" w:cs="Times New Roman"/>
          <w:b/>
          <w:bCs/>
          <w:sz w:val="28"/>
          <w:szCs w:val="28"/>
          <w:lang w:val="en-CA"/>
        </w:rPr>
        <w:t xml:space="preserve">Statement of Senator </w:t>
      </w:r>
      <w:r>
        <w:rPr>
          <w:rFonts w:asciiTheme="majorHAnsi" w:hAnsiTheme="majorHAnsi" w:cs="Times New Roman"/>
          <w:b/>
          <w:bCs/>
          <w:sz w:val="28"/>
          <w:szCs w:val="28"/>
          <w:lang w:val="en-CA"/>
        </w:rPr>
        <w:t>Chuck Grassley</w:t>
      </w:r>
    </w:p>
    <w:p w:rsidR="005175CE" w:rsidRPr="00272CA7" w:rsidRDefault="005175CE" w:rsidP="005175CE">
      <w:pPr>
        <w:jc w:val="center"/>
        <w:rPr>
          <w:rFonts w:asciiTheme="majorHAnsi" w:hAnsiTheme="majorHAnsi" w:cs="Times New Roman"/>
          <w:b/>
          <w:bCs/>
          <w:sz w:val="28"/>
          <w:szCs w:val="28"/>
          <w:lang w:val="en-CA"/>
        </w:rPr>
      </w:pPr>
      <w:r w:rsidRPr="00272CA7">
        <w:rPr>
          <w:rFonts w:asciiTheme="majorHAnsi" w:hAnsiTheme="majorHAnsi" w:cs="Times New Roman"/>
          <w:b/>
          <w:bCs/>
          <w:sz w:val="28"/>
          <w:szCs w:val="28"/>
          <w:lang w:val="en-CA"/>
        </w:rPr>
        <w:t>Before the Committee on the Judiciary</w:t>
      </w:r>
    </w:p>
    <w:p w:rsidR="005175CE" w:rsidRPr="00272CA7" w:rsidRDefault="005175CE" w:rsidP="005175CE">
      <w:pPr>
        <w:jc w:val="center"/>
        <w:rPr>
          <w:rFonts w:asciiTheme="majorHAnsi" w:hAnsiTheme="majorHAnsi" w:cs="Times New Roman"/>
          <w:b/>
          <w:bCs/>
          <w:sz w:val="28"/>
          <w:szCs w:val="28"/>
          <w:lang w:val="en-CA"/>
        </w:rPr>
      </w:pPr>
      <w:r w:rsidRPr="00272CA7">
        <w:rPr>
          <w:rFonts w:asciiTheme="majorHAnsi" w:hAnsiTheme="majorHAnsi" w:cs="Times New Roman"/>
          <w:b/>
          <w:bCs/>
          <w:sz w:val="28"/>
          <w:szCs w:val="28"/>
          <w:lang w:val="en-CA"/>
        </w:rPr>
        <w:t xml:space="preserve">On the Nominations of:  </w:t>
      </w:r>
    </w:p>
    <w:p w:rsidR="005175CE" w:rsidRPr="00272CA7" w:rsidRDefault="005175CE" w:rsidP="005175CE">
      <w:pPr>
        <w:rPr>
          <w:rFonts w:asciiTheme="majorHAnsi" w:hAnsiTheme="majorHAnsi" w:cs="Times New Roman"/>
          <w:bCs/>
          <w:i/>
          <w:sz w:val="26"/>
          <w:szCs w:val="26"/>
        </w:rPr>
      </w:pPr>
    </w:p>
    <w:p w:rsidR="005175CE" w:rsidRPr="000C2B86" w:rsidRDefault="005175CE" w:rsidP="005175CE">
      <w:pPr>
        <w:rPr>
          <w:rFonts w:asciiTheme="majorHAnsi" w:hAnsiTheme="majorHAnsi" w:cs="Times New Roman"/>
          <w:i/>
          <w:sz w:val="24"/>
          <w:szCs w:val="24"/>
        </w:rPr>
      </w:pPr>
    </w:p>
    <w:p w:rsidR="00BC254F" w:rsidRPr="00BC254F" w:rsidRDefault="00BC254F" w:rsidP="00BC254F">
      <w:pPr>
        <w:rPr>
          <w:rFonts w:ascii="Times New Roman" w:eastAsia="Calibri" w:hAnsi="Times New Roman" w:cs="Times New Roman"/>
          <w:i/>
          <w:sz w:val="24"/>
          <w:szCs w:val="24"/>
        </w:rPr>
      </w:pPr>
      <w:r w:rsidRPr="00BC254F">
        <w:rPr>
          <w:rFonts w:ascii="Times New Roman" w:eastAsia="Calibri" w:hAnsi="Times New Roman" w:cs="Times New Roman"/>
          <w:i/>
          <w:sz w:val="24"/>
          <w:szCs w:val="24"/>
        </w:rPr>
        <w:t xml:space="preserve">Shelly </w:t>
      </w:r>
      <w:proofErr w:type="spellStart"/>
      <w:r w:rsidRPr="00BC254F">
        <w:rPr>
          <w:rFonts w:ascii="Times New Roman" w:eastAsia="Calibri" w:hAnsi="Times New Roman" w:cs="Times New Roman"/>
          <w:i/>
          <w:sz w:val="24"/>
          <w:szCs w:val="24"/>
        </w:rPr>
        <w:t>Deckert</w:t>
      </w:r>
      <w:proofErr w:type="spellEnd"/>
      <w:r w:rsidRPr="00BC254F">
        <w:rPr>
          <w:rFonts w:ascii="Times New Roman" w:eastAsia="Calibri" w:hAnsi="Times New Roman" w:cs="Times New Roman"/>
          <w:i/>
          <w:sz w:val="24"/>
          <w:szCs w:val="24"/>
        </w:rPr>
        <w:t xml:space="preserve"> Dick, to be United States District Judge for the Middle District of Louisiana</w:t>
      </w:r>
    </w:p>
    <w:p w:rsidR="00BC254F" w:rsidRPr="00BC254F" w:rsidRDefault="00BC254F" w:rsidP="00BC254F">
      <w:pPr>
        <w:rPr>
          <w:rFonts w:ascii="Times New Roman" w:eastAsia="Calibri" w:hAnsi="Times New Roman" w:cs="Times New Roman"/>
          <w:i/>
          <w:sz w:val="24"/>
          <w:szCs w:val="24"/>
        </w:rPr>
      </w:pPr>
    </w:p>
    <w:p w:rsidR="00BC254F" w:rsidRPr="00BC254F" w:rsidRDefault="00BC254F" w:rsidP="00BC254F">
      <w:pPr>
        <w:rPr>
          <w:rFonts w:ascii="Times New Roman" w:eastAsia="Calibri" w:hAnsi="Times New Roman" w:cs="Times New Roman"/>
          <w:i/>
          <w:sz w:val="24"/>
          <w:szCs w:val="24"/>
        </w:rPr>
      </w:pPr>
      <w:r w:rsidRPr="00BC254F">
        <w:rPr>
          <w:rFonts w:ascii="Times New Roman" w:eastAsia="Calibri" w:hAnsi="Times New Roman" w:cs="Times New Roman"/>
          <w:i/>
          <w:sz w:val="24"/>
          <w:szCs w:val="24"/>
        </w:rPr>
        <w:t>Andrew Patrick Gordon, to be United States District Judge for the District of Nevada</w:t>
      </w:r>
    </w:p>
    <w:p w:rsidR="00BC254F" w:rsidRPr="00BC254F" w:rsidRDefault="00BC254F" w:rsidP="00BC254F">
      <w:pPr>
        <w:rPr>
          <w:rFonts w:ascii="Times New Roman" w:eastAsia="Calibri" w:hAnsi="Times New Roman" w:cs="Times New Roman"/>
          <w:i/>
          <w:sz w:val="24"/>
          <w:szCs w:val="24"/>
        </w:rPr>
      </w:pPr>
    </w:p>
    <w:p w:rsidR="00BC254F" w:rsidRPr="00BC254F" w:rsidRDefault="00BC254F" w:rsidP="00BC254F">
      <w:pPr>
        <w:rPr>
          <w:rFonts w:ascii="Times New Roman" w:eastAsia="Calibri" w:hAnsi="Times New Roman" w:cs="Times New Roman"/>
          <w:i/>
          <w:sz w:val="24"/>
          <w:szCs w:val="24"/>
        </w:rPr>
      </w:pPr>
      <w:proofErr w:type="spellStart"/>
      <w:r w:rsidRPr="00BC254F">
        <w:rPr>
          <w:rFonts w:ascii="Times New Roman" w:eastAsia="Calibri" w:hAnsi="Times New Roman" w:cs="Times New Roman"/>
          <w:i/>
          <w:sz w:val="24"/>
          <w:szCs w:val="24"/>
        </w:rPr>
        <w:t>Ketanji</w:t>
      </w:r>
      <w:proofErr w:type="spellEnd"/>
      <w:r w:rsidRPr="00BC254F">
        <w:rPr>
          <w:rFonts w:ascii="Times New Roman" w:eastAsia="Calibri" w:hAnsi="Times New Roman" w:cs="Times New Roman"/>
          <w:i/>
          <w:sz w:val="24"/>
          <w:szCs w:val="24"/>
        </w:rPr>
        <w:t xml:space="preserve"> Brown Jackson, to be United States District Judge for the District of Columbia</w:t>
      </w:r>
    </w:p>
    <w:p w:rsidR="00BC254F" w:rsidRPr="00BC254F" w:rsidRDefault="00BC254F" w:rsidP="00BC254F">
      <w:pPr>
        <w:rPr>
          <w:rFonts w:ascii="Times New Roman" w:eastAsia="Calibri" w:hAnsi="Times New Roman" w:cs="Times New Roman"/>
          <w:i/>
          <w:sz w:val="24"/>
          <w:szCs w:val="24"/>
        </w:rPr>
      </w:pPr>
    </w:p>
    <w:p w:rsidR="00BC254F" w:rsidRPr="00BC254F" w:rsidRDefault="00BC254F" w:rsidP="00BC254F">
      <w:pPr>
        <w:rPr>
          <w:rFonts w:ascii="Times New Roman" w:eastAsia="Calibri" w:hAnsi="Times New Roman" w:cs="Times New Roman"/>
          <w:i/>
          <w:sz w:val="24"/>
          <w:szCs w:val="24"/>
        </w:rPr>
      </w:pPr>
      <w:r w:rsidRPr="00BC254F">
        <w:rPr>
          <w:rFonts w:ascii="Times New Roman" w:eastAsia="Calibri" w:hAnsi="Times New Roman" w:cs="Times New Roman"/>
          <w:i/>
          <w:sz w:val="24"/>
          <w:szCs w:val="24"/>
        </w:rPr>
        <w:t>Beverly Reid O'Connell, to be United States District Judge for the Central District of California</w:t>
      </w:r>
    </w:p>
    <w:p w:rsidR="005175CE" w:rsidRDefault="005175CE" w:rsidP="005175CE">
      <w:pPr>
        <w:rPr>
          <w:rFonts w:asciiTheme="majorHAnsi" w:hAnsiTheme="majorHAnsi" w:cs="Times New Roman"/>
          <w:i/>
          <w:sz w:val="28"/>
          <w:szCs w:val="28"/>
        </w:rPr>
      </w:pPr>
    </w:p>
    <w:p w:rsidR="005175CE" w:rsidRDefault="005175CE" w:rsidP="005175CE">
      <w:pPr>
        <w:jc w:val="center"/>
        <w:rPr>
          <w:rFonts w:asciiTheme="majorHAnsi" w:hAnsiTheme="majorHAnsi" w:cs="Times New Roman"/>
          <w:b/>
          <w:sz w:val="28"/>
          <w:szCs w:val="28"/>
        </w:rPr>
      </w:pPr>
    </w:p>
    <w:p w:rsidR="005175CE" w:rsidRDefault="00A26869" w:rsidP="005175CE">
      <w:pPr>
        <w:jc w:val="center"/>
        <w:rPr>
          <w:rFonts w:asciiTheme="majorHAnsi" w:hAnsiTheme="majorHAnsi" w:cs="Times New Roman"/>
          <w:b/>
          <w:sz w:val="28"/>
          <w:szCs w:val="28"/>
        </w:rPr>
      </w:pPr>
      <w:r>
        <w:rPr>
          <w:rFonts w:asciiTheme="majorHAnsi" w:hAnsiTheme="majorHAnsi" w:cs="Times New Roman"/>
          <w:b/>
          <w:sz w:val="28"/>
          <w:szCs w:val="28"/>
        </w:rPr>
        <w:t>December 12, 2012</w:t>
      </w:r>
    </w:p>
    <w:p w:rsidR="005175CE" w:rsidRPr="00272CA7" w:rsidRDefault="005175CE" w:rsidP="005175CE">
      <w:pPr>
        <w:jc w:val="center"/>
        <w:rPr>
          <w:rFonts w:ascii="Times New Roman" w:hAnsi="Times New Roman" w:cs="Times New Roman"/>
          <w:sz w:val="24"/>
          <w:szCs w:val="24"/>
        </w:rPr>
      </w:pPr>
    </w:p>
    <w:p w:rsidR="005175CE" w:rsidRDefault="005175CE" w:rsidP="005175CE"/>
    <w:p w:rsidR="00CE36B7" w:rsidRDefault="005175CE" w:rsidP="009567B1">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t>I join you in welcoming the nominees</w:t>
      </w:r>
      <w:r w:rsidR="004A0F58">
        <w:rPr>
          <w:rFonts w:asciiTheme="majorHAnsi" w:eastAsiaTheme="minorHAnsi" w:hAnsiTheme="majorHAnsi" w:cstheme="minorBidi"/>
          <w:sz w:val="36"/>
          <w:szCs w:val="36"/>
        </w:rPr>
        <w:t xml:space="preserve">, their </w:t>
      </w:r>
      <w:r w:rsidR="008A15AE">
        <w:rPr>
          <w:rFonts w:asciiTheme="majorHAnsi" w:eastAsiaTheme="minorHAnsi" w:hAnsiTheme="majorHAnsi" w:cstheme="minorBidi"/>
          <w:sz w:val="36"/>
          <w:szCs w:val="36"/>
        </w:rPr>
        <w:t>families, friends, and other guests.</w:t>
      </w:r>
      <w:r w:rsidR="00E23792">
        <w:rPr>
          <w:rFonts w:asciiTheme="majorHAnsi" w:eastAsiaTheme="minorHAnsi" w:hAnsiTheme="majorHAnsi" w:cstheme="minorBidi"/>
          <w:sz w:val="36"/>
          <w:szCs w:val="36"/>
        </w:rPr>
        <w:t xml:space="preserve"> </w:t>
      </w:r>
      <w:r w:rsidR="009B7E69">
        <w:rPr>
          <w:rFonts w:asciiTheme="majorHAnsi" w:eastAsiaTheme="minorHAnsi" w:hAnsiTheme="majorHAnsi" w:cstheme="minorBidi"/>
          <w:sz w:val="36"/>
          <w:szCs w:val="36"/>
        </w:rPr>
        <w:t xml:space="preserve"> We have</w:t>
      </w:r>
      <w:r w:rsidR="009567B1">
        <w:rPr>
          <w:rFonts w:asciiTheme="majorHAnsi" w:eastAsiaTheme="minorHAnsi" w:hAnsiTheme="majorHAnsi" w:cstheme="minorBidi"/>
          <w:sz w:val="36"/>
          <w:szCs w:val="36"/>
        </w:rPr>
        <w:t xml:space="preserve"> </w:t>
      </w:r>
      <w:r w:rsidR="000C2B86">
        <w:rPr>
          <w:rFonts w:asciiTheme="majorHAnsi" w:eastAsiaTheme="minorHAnsi" w:hAnsiTheme="majorHAnsi" w:cstheme="minorBidi"/>
          <w:sz w:val="36"/>
          <w:szCs w:val="36"/>
        </w:rPr>
        <w:t>four</w:t>
      </w:r>
      <w:r w:rsidR="009567B1">
        <w:rPr>
          <w:rFonts w:asciiTheme="majorHAnsi" w:eastAsiaTheme="minorHAnsi" w:hAnsiTheme="majorHAnsi" w:cstheme="minorBidi"/>
          <w:sz w:val="36"/>
          <w:szCs w:val="36"/>
        </w:rPr>
        <w:t xml:space="preserve"> District Court nominees </w:t>
      </w:r>
      <w:r w:rsidR="000C2B86">
        <w:rPr>
          <w:rFonts w:asciiTheme="majorHAnsi" w:eastAsiaTheme="minorHAnsi" w:hAnsiTheme="majorHAnsi" w:cstheme="minorBidi"/>
          <w:sz w:val="36"/>
          <w:szCs w:val="36"/>
        </w:rPr>
        <w:t>before us today</w:t>
      </w:r>
      <w:r w:rsidR="002B3B5C">
        <w:rPr>
          <w:rFonts w:asciiTheme="majorHAnsi" w:eastAsiaTheme="minorHAnsi" w:hAnsiTheme="majorHAnsi" w:cstheme="minorBidi"/>
          <w:sz w:val="36"/>
          <w:szCs w:val="36"/>
        </w:rPr>
        <w:t>.</w:t>
      </w:r>
    </w:p>
    <w:p w:rsidR="002B768F" w:rsidRDefault="002B768F" w:rsidP="009567B1">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t>With today’s hearing, d</w:t>
      </w:r>
      <w:r w:rsidR="008A15AE">
        <w:rPr>
          <w:rFonts w:asciiTheme="majorHAnsi" w:eastAsiaTheme="minorHAnsi" w:hAnsiTheme="majorHAnsi" w:cstheme="minorBidi"/>
          <w:sz w:val="36"/>
          <w:szCs w:val="36"/>
        </w:rPr>
        <w:t>uring this Congress</w:t>
      </w:r>
      <w:r w:rsidR="00D10323">
        <w:rPr>
          <w:rFonts w:asciiTheme="majorHAnsi" w:eastAsiaTheme="minorHAnsi" w:hAnsiTheme="majorHAnsi" w:cstheme="minorBidi"/>
          <w:sz w:val="36"/>
          <w:szCs w:val="36"/>
        </w:rPr>
        <w:t xml:space="preserve"> we have </w:t>
      </w:r>
      <w:r w:rsidR="00475E4E">
        <w:rPr>
          <w:rFonts w:asciiTheme="majorHAnsi" w:eastAsiaTheme="minorHAnsi" w:hAnsiTheme="majorHAnsi" w:cstheme="minorBidi"/>
          <w:sz w:val="36"/>
          <w:szCs w:val="36"/>
        </w:rPr>
        <w:t xml:space="preserve">held </w:t>
      </w:r>
      <w:r w:rsidR="00BC254F">
        <w:rPr>
          <w:rFonts w:asciiTheme="majorHAnsi" w:eastAsiaTheme="minorHAnsi" w:hAnsiTheme="majorHAnsi" w:cstheme="minorBidi"/>
          <w:sz w:val="36"/>
          <w:szCs w:val="36"/>
        </w:rPr>
        <w:t>29</w:t>
      </w:r>
      <w:r w:rsidR="00D10323">
        <w:rPr>
          <w:rFonts w:asciiTheme="majorHAnsi" w:eastAsiaTheme="minorHAnsi" w:hAnsiTheme="majorHAnsi" w:cstheme="minorBidi"/>
          <w:sz w:val="36"/>
          <w:szCs w:val="36"/>
        </w:rPr>
        <w:t xml:space="preserve"> nomination hearings </w:t>
      </w:r>
      <w:r w:rsidR="00FE0808">
        <w:rPr>
          <w:rFonts w:asciiTheme="majorHAnsi" w:eastAsiaTheme="minorHAnsi" w:hAnsiTheme="majorHAnsi" w:cstheme="minorBidi"/>
          <w:sz w:val="36"/>
          <w:szCs w:val="36"/>
        </w:rPr>
        <w:t xml:space="preserve">for </w:t>
      </w:r>
      <w:r>
        <w:rPr>
          <w:rFonts w:asciiTheme="majorHAnsi" w:eastAsiaTheme="minorHAnsi" w:hAnsiTheme="majorHAnsi" w:cstheme="minorBidi"/>
          <w:sz w:val="36"/>
          <w:szCs w:val="36"/>
        </w:rPr>
        <w:t>11</w:t>
      </w:r>
      <w:r w:rsidR="00BC254F">
        <w:rPr>
          <w:rFonts w:asciiTheme="majorHAnsi" w:eastAsiaTheme="minorHAnsi" w:hAnsiTheme="majorHAnsi" w:cstheme="minorBidi"/>
          <w:sz w:val="36"/>
          <w:szCs w:val="36"/>
        </w:rPr>
        <w:t>6</w:t>
      </w:r>
      <w:r>
        <w:rPr>
          <w:rFonts w:asciiTheme="majorHAnsi" w:eastAsiaTheme="minorHAnsi" w:hAnsiTheme="majorHAnsi" w:cstheme="minorBidi"/>
          <w:sz w:val="36"/>
          <w:szCs w:val="36"/>
        </w:rPr>
        <w:t xml:space="preserve"> judicial nominees</w:t>
      </w:r>
      <w:r w:rsidR="009567B1">
        <w:rPr>
          <w:rFonts w:asciiTheme="majorHAnsi" w:eastAsiaTheme="minorHAnsi" w:hAnsiTheme="majorHAnsi" w:cstheme="minorBidi"/>
          <w:sz w:val="36"/>
          <w:szCs w:val="36"/>
        </w:rPr>
        <w:t xml:space="preserve">. </w:t>
      </w:r>
      <w:r w:rsidR="00D10323">
        <w:rPr>
          <w:rFonts w:asciiTheme="majorHAnsi" w:eastAsiaTheme="minorHAnsi" w:hAnsiTheme="majorHAnsi" w:cstheme="minorBidi"/>
          <w:sz w:val="36"/>
          <w:szCs w:val="36"/>
        </w:rPr>
        <w:t xml:space="preserve"> </w:t>
      </w:r>
      <w:r>
        <w:rPr>
          <w:rFonts w:asciiTheme="majorHAnsi" w:eastAsiaTheme="minorHAnsi" w:hAnsiTheme="majorHAnsi" w:cstheme="minorBidi"/>
          <w:sz w:val="36"/>
          <w:szCs w:val="36"/>
        </w:rPr>
        <w:t>In total, the Senate has</w:t>
      </w:r>
      <w:r w:rsidR="00D10323">
        <w:rPr>
          <w:rFonts w:asciiTheme="majorHAnsi" w:eastAsiaTheme="minorHAnsi" w:hAnsiTheme="majorHAnsi" w:cstheme="minorBidi"/>
          <w:sz w:val="36"/>
          <w:szCs w:val="36"/>
        </w:rPr>
        <w:t xml:space="preserve"> </w:t>
      </w:r>
      <w:r w:rsidR="009B7E69">
        <w:rPr>
          <w:rFonts w:asciiTheme="majorHAnsi" w:eastAsiaTheme="minorHAnsi" w:hAnsiTheme="majorHAnsi" w:cstheme="minorBidi"/>
          <w:sz w:val="36"/>
          <w:szCs w:val="36"/>
        </w:rPr>
        <w:t xml:space="preserve">confirmed </w:t>
      </w:r>
      <w:r w:rsidR="00BC254F">
        <w:rPr>
          <w:rFonts w:asciiTheme="majorHAnsi" w:eastAsiaTheme="minorHAnsi" w:hAnsiTheme="majorHAnsi" w:cstheme="minorBidi"/>
          <w:sz w:val="36"/>
          <w:szCs w:val="36"/>
        </w:rPr>
        <w:t>164</w:t>
      </w:r>
      <w:r w:rsidR="00CE36B7">
        <w:rPr>
          <w:rFonts w:asciiTheme="majorHAnsi" w:eastAsiaTheme="minorHAnsi" w:hAnsiTheme="majorHAnsi" w:cstheme="minorBidi"/>
          <w:sz w:val="36"/>
          <w:szCs w:val="36"/>
        </w:rPr>
        <w:t xml:space="preserve"> District</w:t>
      </w:r>
      <w:r w:rsidR="009B7E69">
        <w:rPr>
          <w:rFonts w:asciiTheme="majorHAnsi" w:eastAsiaTheme="minorHAnsi" w:hAnsiTheme="majorHAnsi" w:cstheme="minorBidi"/>
          <w:sz w:val="36"/>
          <w:szCs w:val="36"/>
        </w:rPr>
        <w:t xml:space="preserve"> </w:t>
      </w:r>
      <w:r w:rsidR="00475E4E">
        <w:rPr>
          <w:rFonts w:asciiTheme="majorHAnsi" w:eastAsiaTheme="minorHAnsi" w:hAnsiTheme="majorHAnsi" w:cstheme="minorBidi"/>
          <w:sz w:val="36"/>
          <w:szCs w:val="36"/>
        </w:rPr>
        <w:t xml:space="preserve">and </w:t>
      </w:r>
      <w:r w:rsidR="009B7E69">
        <w:rPr>
          <w:rFonts w:asciiTheme="majorHAnsi" w:eastAsiaTheme="minorHAnsi" w:hAnsiTheme="majorHAnsi" w:cstheme="minorBidi"/>
          <w:sz w:val="36"/>
          <w:szCs w:val="36"/>
        </w:rPr>
        <w:t>Circuit nominee</w:t>
      </w:r>
      <w:r w:rsidR="00D10323">
        <w:rPr>
          <w:rFonts w:asciiTheme="majorHAnsi" w:eastAsiaTheme="minorHAnsi" w:hAnsiTheme="majorHAnsi" w:cstheme="minorBidi"/>
          <w:sz w:val="36"/>
          <w:szCs w:val="36"/>
        </w:rPr>
        <w:t xml:space="preserve">s.  </w:t>
      </w:r>
      <w:r w:rsidR="00A26869">
        <w:rPr>
          <w:rFonts w:asciiTheme="majorHAnsi" w:eastAsiaTheme="minorHAnsi" w:hAnsiTheme="majorHAnsi" w:cstheme="minorBidi"/>
          <w:sz w:val="36"/>
          <w:szCs w:val="36"/>
        </w:rPr>
        <w:t>The</w:t>
      </w:r>
      <w:r>
        <w:rPr>
          <w:rFonts w:asciiTheme="majorHAnsi" w:eastAsiaTheme="minorHAnsi" w:hAnsiTheme="majorHAnsi" w:cstheme="minorBidi"/>
          <w:sz w:val="36"/>
          <w:szCs w:val="36"/>
        </w:rPr>
        <w:t xml:space="preserve"> Committee has made good and steady progress in confirming judicial nominees.  </w:t>
      </w:r>
      <w:r w:rsidR="00D10323">
        <w:rPr>
          <w:rFonts w:asciiTheme="majorHAnsi" w:eastAsiaTheme="minorHAnsi" w:hAnsiTheme="majorHAnsi" w:cstheme="minorBidi"/>
          <w:sz w:val="36"/>
          <w:szCs w:val="36"/>
        </w:rPr>
        <w:t xml:space="preserve">This year alone, we have confirmed </w:t>
      </w:r>
      <w:r w:rsidR="002B3B5C">
        <w:rPr>
          <w:rFonts w:asciiTheme="majorHAnsi" w:eastAsiaTheme="minorHAnsi" w:hAnsiTheme="majorHAnsi" w:cstheme="minorBidi"/>
          <w:sz w:val="36"/>
          <w:szCs w:val="36"/>
        </w:rPr>
        <w:t>42</w:t>
      </w:r>
      <w:r w:rsidR="00D10323">
        <w:rPr>
          <w:rFonts w:asciiTheme="majorHAnsi" w:eastAsiaTheme="minorHAnsi" w:hAnsiTheme="majorHAnsi" w:cstheme="minorBidi"/>
          <w:sz w:val="36"/>
          <w:szCs w:val="36"/>
        </w:rPr>
        <w:t xml:space="preserve"> </w:t>
      </w:r>
      <w:r w:rsidR="00BC254F">
        <w:rPr>
          <w:rFonts w:asciiTheme="majorHAnsi" w:eastAsiaTheme="minorHAnsi" w:hAnsiTheme="majorHAnsi" w:cstheme="minorBidi"/>
          <w:sz w:val="36"/>
          <w:szCs w:val="36"/>
        </w:rPr>
        <w:t>District and Circuit</w:t>
      </w:r>
      <w:r w:rsidR="00D10323">
        <w:rPr>
          <w:rFonts w:asciiTheme="majorHAnsi" w:eastAsiaTheme="minorHAnsi" w:hAnsiTheme="majorHAnsi" w:cstheme="minorBidi"/>
          <w:sz w:val="36"/>
          <w:szCs w:val="36"/>
        </w:rPr>
        <w:t xml:space="preserve"> judges, which is significantly higher than were confirmed in the last Presidential election year.</w:t>
      </w:r>
      <w:r w:rsidR="009567B1">
        <w:rPr>
          <w:rFonts w:asciiTheme="majorHAnsi" w:eastAsiaTheme="minorHAnsi" w:hAnsiTheme="majorHAnsi" w:cstheme="minorBidi"/>
          <w:sz w:val="36"/>
          <w:szCs w:val="36"/>
        </w:rPr>
        <w:t xml:space="preserve"> </w:t>
      </w:r>
      <w:r>
        <w:rPr>
          <w:rFonts w:asciiTheme="majorHAnsi" w:eastAsiaTheme="minorHAnsi" w:hAnsiTheme="majorHAnsi" w:cstheme="minorBidi"/>
          <w:sz w:val="36"/>
          <w:szCs w:val="36"/>
        </w:rPr>
        <w:t xml:space="preserve">    </w:t>
      </w:r>
      <w:r w:rsidR="002B3B5C">
        <w:rPr>
          <w:rFonts w:asciiTheme="majorHAnsi" w:eastAsiaTheme="minorHAnsi" w:hAnsiTheme="majorHAnsi" w:cstheme="minorBidi"/>
          <w:sz w:val="36"/>
          <w:szCs w:val="36"/>
        </w:rPr>
        <w:t>During this Congress, the 112</w:t>
      </w:r>
      <w:r w:rsidR="002B3B5C" w:rsidRPr="002B3B5C">
        <w:rPr>
          <w:rFonts w:asciiTheme="majorHAnsi" w:eastAsiaTheme="minorHAnsi" w:hAnsiTheme="majorHAnsi" w:cstheme="minorBidi"/>
          <w:sz w:val="36"/>
          <w:szCs w:val="36"/>
          <w:vertAlign w:val="superscript"/>
        </w:rPr>
        <w:t>th</w:t>
      </w:r>
      <w:r w:rsidR="002B3B5C">
        <w:rPr>
          <w:rFonts w:asciiTheme="majorHAnsi" w:eastAsiaTheme="minorHAnsi" w:hAnsiTheme="majorHAnsi" w:cstheme="minorBidi"/>
          <w:sz w:val="36"/>
          <w:szCs w:val="36"/>
        </w:rPr>
        <w:t xml:space="preserve">, we have confirmed 104 judges.  </w:t>
      </w:r>
      <w:r w:rsidR="009D1478" w:rsidRPr="009D1478">
        <w:rPr>
          <w:rFonts w:asciiTheme="majorHAnsi" w:eastAsiaTheme="minorHAnsi" w:hAnsiTheme="majorHAnsi" w:cstheme="minorBidi"/>
          <w:sz w:val="36"/>
          <w:szCs w:val="36"/>
        </w:rPr>
        <w:t xml:space="preserve">That matches the highest </w:t>
      </w:r>
      <w:r w:rsidR="009D1478" w:rsidRPr="009D1478">
        <w:rPr>
          <w:rFonts w:asciiTheme="majorHAnsi" w:eastAsiaTheme="minorHAnsi" w:hAnsiTheme="majorHAnsi" w:cstheme="minorBidi"/>
          <w:sz w:val="36"/>
          <w:szCs w:val="36"/>
        </w:rPr>
        <w:lastRenderedPageBreak/>
        <w:t>number of confirmations done by this Committee during a Congress when President Bush was in office.</w:t>
      </w:r>
      <w:r w:rsidR="002B3B5C">
        <w:rPr>
          <w:rFonts w:asciiTheme="majorHAnsi" w:eastAsiaTheme="minorHAnsi" w:hAnsiTheme="majorHAnsi" w:cstheme="minorBidi"/>
          <w:sz w:val="36"/>
          <w:szCs w:val="36"/>
        </w:rPr>
        <w:t xml:space="preserve">  That took place in the 108</w:t>
      </w:r>
      <w:r w:rsidR="002B3B5C" w:rsidRPr="002B3B5C">
        <w:rPr>
          <w:rFonts w:asciiTheme="majorHAnsi" w:eastAsiaTheme="minorHAnsi" w:hAnsiTheme="majorHAnsi" w:cstheme="minorBidi"/>
          <w:sz w:val="36"/>
          <w:szCs w:val="36"/>
          <w:vertAlign w:val="superscript"/>
        </w:rPr>
        <w:t>th</w:t>
      </w:r>
      <w:r w:rsidR="002B3B5C">
        <w:rPr>
          <w:rFonts w:asciiTheme="majorHAnsi" w:eastAsiaTheme="minorHAnsi" w:hAnsiTheme="majorHAnsi" w:cstheme="minorBidi"/>
          <w:sz w:val="36"/>
          <w:szCs w:val="36"/>
        </w:rPr>
        <w:t xml:space="preserve"> Congress, when Republicans were in the majority.  So </w:t>
      </w:r>
      <w:r w:rsidR="003E4389">
        <w:rPr>
          <w:rFonts w:asciiTheme="majorHAnsi" w:eastAsiaTheme="minorHAnsi" w:hAnsiTheme="majorHAnsi" w:cstheme="minorBidi"/>
          <w:sz w:val="36"/>
          <w:szCs w:val="36"/>
        </w:rPr>
        <w:t xml:space="preserve">I think by any objective measure, one would have to conclude that </w:t>
      </w:r>
      <w:r w:rsidR="002B3B5C">
        <w:rPr>
          <w:rFonts w:asciiTheme="majorHAnsi" w:eastAsiaTheme="minorHAnsi" w:hAnsiTheme="majorHAnsi" w:cstheme="minorBidi"/>
          <w:sz w:val="36"/>
          <w:szCs w:val="36"/>
        </w:rPr>
        <w:t xml:space="preserve">we are treating this President </w:t>
      </w:r>
      <w:r w:rsidR="003E4389">
        <w:rPr>
          <w:rFonts w:asciiTheme="majorHAnsi" w:eastAsiaTheme="minorHAnsi" w:hAnsiTheme="majorHAnsi" w:cstheme="minorBidi"/>
          <w:sz w:val="36"/>
          <w:szCs w:val="36"/>
        </w:rPr>
        <w:t>and his nominees quite fairly.</w:t>
      </w:r>
    </w:p>
    <w:p w:rsidR="002B3B5C" w:rsidRDefault="002B3B5C" w:rsidP="009567B1">
      <w:pPr>
        <w:spacing w:line="360" w:lineRule="auto"/>
        <w:ind w:firstLine="720"/>
        <w:rPr>
          <w:rFonts w:asciiTheme="majorHAnsi" w:eastAsiaTheme="minorHAnsi" w:hAnsiTheme="majorHAnsi" w:cstheme="minorBidi"/>
          <w:sz w:val="36"/>
          <w:szCs w:val="36"/>
        </w:rPr>
      </w:pPr>
    </w:p>
    <w:p w:rsidR="00A132A0" w:rsidRDefault="008A15AE" w:rsidP="009567B1">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t xml:space="preserve">Again, </w:t>
      </w:r>
      <w:r w:rsidR="002B768F">
        <w:rPr>
          <w:rFonts w:asciiTheme="majorHAnsi" w:eastAsiaTheme="minorHAnsi" w:hAnsiTheme="majorHAnsi" w:cstheme="minorBidi"/>
          <w:sz w:val="36"/>
          <w:szCs w:val="36"/>
        </w:rPr>
        <w:t xml:space="preserve">I </w:t>
      </w:r>
      <w:r w:rsidR="009567B1">
        <w:rPr>
          <w:rFonts w:asciiTheme="majorHAnsi" w:eastAsiaTheme="minorHAnsi" w:hAnsiTheme="majorHAnsi" w:cstheme="minorBidi"/>
          <w:sz w:val="36"/>
          <w:szCs w:val="36"/>
        </w:rPr>
        <w:t>welcome the nominees</w:t>
      </w:r>
      <w:r w:rsidR="00E23792">
        <w:rPr>
          <w:rFonts w:asciiTheme="majorHAnsi" w:eastAsiaTheme="minorHAnsi" w:hAnsiTheme="majorHAnsi" w:cstheme="minorBidi"/>
          <w:sz w:val="36"/>
          <w:szCs w:val="36"/>
        </w:rPr>
        <w:t xml:space="preserve"> </w:t>
      </w:r>
      <w:r w:rsidR="009567B1">
        <w:rPr>
          <w:rFonts w:asciiTheme="majorHAnsi" w:eastAsiaTheme="minorHAnsi" w:hAnsiTheme="majorHAnsi" w:cstheme="minorBidi"/>
          <w:sz w:val="36"/>
          <w:szCs w:val="36"/>
        </w:rPr>
        <w:t>and I look forward to this hearing.</w:t>
      </w:r>
      <w:r w:rsidR="003B4A15">
        <w:rPr>
          <w:rFonts w:asciiTheme="majorHAnsi" w:eastAsiaTheme="minorHAnsi" w:hAnsiTheme="majorHAnsi" w:cstheme="minorBidi"/>
          <w:sz w:val="36"/>
          <w:szCs w:val="36"/>
        </w:rPr>
        <w:t xml:space="preserve">  I will place the balance of my statement in the record regarding the biographical information on each nominee.</w:t>
      </w:r>
    </w:p>
    <w:p w:rsidR="0076027D" w:rsidRDefault="0076027D" w:rsidP="009567B1">
      <w:pPr>
        <w:spacing w:line="360" w:lineRule="auto"/>
        <w:ind w:firstLine="720"/>
        <w:rPr>
          <w:rFonts w:asciiTheme="majorHAnsi" w:eastAsiaTheme="minorHAnsi" w:hAnsiTheme="majorHAnsi" w:cstheme="minorBidi"/>
          <w:sz w:val="36"/>
          <w:szCs w:val="36"/>
        </w:rPr>
      </w:pPr>
    </w:p>
    <w:p w:rsidR="003E4389" w:rsidRDefault="00475E4E" w:rsidP="003E4389">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t>Ms.</w:t>
      </w:r>
      <w:r w:rsidR="003E4389" w:rsidRPr="003E4389">
        <w:rPr>
          <w:rFonts w:asciiTheme="majorHAnsi" w:eastAsiaTheme="minorHAnsi" w:hAnsiTheme="majorHAnsi" w:cstheme="minorBidi"/>
          <w:sz w:val="36"/>
          <w:szCs w:val="36"/>
        </w:rPr>
        <w:t xml:space="preserve"> Dick received her B.A. from the University of Texas, Austin in 1981 and her J.D. from Louisiana State University in 1988. </w:t>
      </w:r>
    </w:p>
    <w:p w:rsidR="003E4389" w:rsidRPr="003E4389" w:rsidRDefault="003E4389" w:rsidP="003E4389">
      <w:pPr>
        <w:spacing w:line="360" w:lineRule="auto"/>
        <w:ind w:firstLine="720"/>
        <w:rPr>
          <w:rFonts w:asciiTheme="majorHAnsi" w:eastAsiaTheme="minorHAnsi" w:hAnsiTheme="majorHAnsi" w:cstheme="minorBidi"/>
          <w:sz w:val="36"/>
          <w:szCs w:val="36"/>
        </w:rPr>
      </w:pPr>
    </w:p>
    <w:p w:rsidR="003E4389" w:rsidRDefault="003E4389" w:rsidP="003E4389">
      <w:pPr>
        <w:spacing w:line="360" w:lineRule="auto"/>
        <w:ind w:firstLine="720"/>
        <w:rPr>
          <w:rFonts w:asciiTheme="majorHAnsi" w:eastAsiaTheme="minorHAnsi" w:hAnsiTheme="majorHAnsi" w:cstheme="minorBidi"/>
          <w:sz w:val="36"/>
          <w:szCs w:val="36"/>
        </w:rPr>
      </w:pPr>
      <w:r w:rsidRPr="003E4389">
        <w:rPr>
          <w:rFonts w:asciiTheme="majorHAnsi" w:eastAsiaTheme="minorHAnsi" w:hAnsiTheme="majorHAnsi" w:cstheme="minorBidi"/>
          <w:sz w:val="36"/>
          <w:szCs w:val="36"/>
        </w:rPr>
        <w:t xml:space="preserve">From 1988 to1994, </w:t>
      </w:r>
      <w:r w:rsidR="00475E4E">
        <w:rPr>
          <w:rFonts w:asciiTheme="majorHAnsi" w:eastAsiaTheme="minorHAnsi" w:hAnsiTheme="majorHAnsi" w:cstheme="minorBidi"/>
          <w:sz w:val="36"/>
          <w:szCs w:val="36"/>
        </w:rPr>
        <w:t>Ms.</w:t>
      </w:r>
      <w:r w:rsidRPr="003E4389">
        <w:rPr>
          <w:rFonts w:asciiTheme="majorHAnsi" w:eastAsiaTheme="minorHAnsi" w:hAnsiTheme="majorHAnsi" w:cstheme="minorBidi"/>
          <w:sz w:val="36"/>
          <w:szCs w:val="36"/>
        </w:rPr>
        <w:t xml:space="preserve"> Dick worked for Gary Field Landry and Dornier as an associate attorney. In 1994, she founded the Law Offices of Shelly D. Dick, LLC (formerly Forrester &amp; Dick), where she is still working as a partner. </w:t>
      </w:r>
      <w:r w:rsidRPr="003E4389">
        <w:rPr>
          <w:rFonts w:asciiTheme="majorHAnsi" w:eastAsiaTheme="minorHAnsi" w:hAnsiTheme="majorHAnsi" w:cstheme="minorBidi"/>
          <w:sz w:val="36"/>
          <w:szCs w:val="36"/>
        </w:rPr>
        <w:lastRenderedPageBreak/>
        <w:t xml:space="preserve">Her practice has emphasized commercial litigation, casualty defense litigation, and employment law litigation. She has handled 10 jury trials, and 20 bench trials in which she served as chief or co-counsel.  In 2008, the Louisiana Workforce Commission appointed </w:t>
      </w:r>
      <w:r w:rsidR="00475E4E">
        <w:rPr>
          <w:rFonts w:asciiTheme="majorHAnsi" w:eastAsiaTheme="minorHAnsi" w:hAnsiTheme="majorHAnsi" w:cstheme="minorBidi"/>
          <w:sz w:val="36"/>
          <w:szCs w:val="36"/>
        </w:rPr>
        <w:t>Ms.</w:t>
      </w:r>
      <w:r w:rsidRPr="003E4389">
        <w:rPr>
          <w:rFonts w:asciiTheme="majorHAnsi" w:eastAsiaTheme="minorHAnsi" w:hAnsiTheme="majorHAnsi" w:cstheme="minorBidi"/>
          <w:sz w:val="36"/>
          <w:szCs w:val="36"/>
        </w:rPr>
        <w:t xml:space="preserve"> Dick to serve as an ad hoc Administrative Hearing Officer. She estimates that she has presided over 10 to 12 administrative hearings that have gone to verdict or final judgment.  </w:t>
      </w:r>
    </w:p>
    <w:p w:rsidR="003E4389" w:rsidRDefault="003E4389" w:rsidP="003E4389">
      <w:pPr>
        <w:spacing w:line="360" w:lineRule="auto"/>
        <w:ind w:firstLine="720"/>
        <w:rPr>
          <w:rFonts w:asciiTheme="majorHAnsi" w:eastAsiaTheme="minorHAnsi" w:hAnsiTheme="majorHAnsi" w:cstheme="minorBidi"/>
          <w:sz w:val="36"/>
          <w:szCs w:val="36"/>
        </w:rPr>
      </w:pPr>
    </w:p>
    <w:p w:rsidR="003E4389" w:rsidRDefault="003E4389" w:rsidP="003E4389">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t xml:space="preserve">The American Bar Association Standing Committee on the Federal Judiciary has rated Ms. Dick as </w:t>
      </w:r>
      <w:r w:rsidRPr="003E4389">
        <w:rPr>
          <w:rFonts w:asciiTheme="majorHAnsi" w:eastAsiaTheme="minorHAnsi" w:hAnsiTheme="majorHAnsi" w:cstheme="minorBidi"/>
          <w:sz w:val="36"/>
          <w:szCs w:val="36"/>
        </w:rPr>
        <w:t>Substantial majority “Qualified”; Minority “Well Qualified”</w:t>
      </w:r>
      <w:r>
        <w:rPr>
          <w:rFonts w:asciiTheme="majorHAnsi" w:eastAsiaTheme="minorHAnsi" w:hAnsiTheme="majorHAnsi" w:cstheme="minorBidi"/>
          <w:sz w:val="36"/>
          <w:szCs w:val="36"/>
        </w:rPr>
        <w:t>.</w:t>
      </w:r>
    </w:p>
    <w:p w:rsidR="003E4389" w:rsidRDefault="003E4389" w:rsidP="003E4389">
      <w:pPr>
        <w:spacing w:line="360" w:lineRule="auto"/>
        <w:ind w:firstLine="720"/>
        <w:rPr>
          <w:rFonts w:asciiTheme="majorHAnsi" w:eastAsiaTheme="minorHAnsi" w:hAnsiTheme="majorHAnsi" w:cstheme="minorBidi"/>
          <w:sz w:val="36"/>
          <w:szCs w:val="36"/>
        </w:rPr>
      </w:pPr>
    </w:p>
    <w:p w:rsidR="003E4389" w:rsidRDefault="003E4389" w:rsidP="00EF285E">
      <w:pPr>
        <w:spacing w:line="360" w:lineRule="auto"/>
        <w:ind w:firstLine="720"/>
        <w:rPr>
          <w:rFonts w:asciiTheme="majorHAnsi" w:eastAsiaTheme="minorHAnsi" w:hAnsiTheme="majorHAnsi" w:cstheme="minorBidi"/>
          <w:sz w:val="36"/>
          <w:szCs w:val="36"/>
        </w:rPr>
      </w:pPr>
      <w:r w:rsidRPr="003E4389">
        <w:rPr>
          <w:rFonts w:asciiTheme="majorHAnsi" w:eastAsiaTheme="minorHAnsi" w:hAnsiTheme="majorHAnsi" w:cstheme="minorBidi"/>
          <w:sz w:val="36"/>
          <w:szCs w:val="36"/>
        </w:rPr>
        <w:t xml:space="preserve">Mr. Gordon received a B.A. from Claremont McKenna College in 1984, graduating cum laude.  In 1987, </w:t>
      </w:r>
      <w:r w:rsidR="00787413">
        <w:rPr>
          <w:rFonts w:asciiTheme="majorHAnsi" w:eastAsiaTheme="minorHAnsi" w:hAnsiTheme="majorHAnsi" w:cstheme="minorBidi"/>
          <w:sz w:val="36"/>
          <w:szCs w:val="36"/>
        </w:rPr>
        <w:t xml:space="preserve">he </w:t>
      </w:r>
      <w:r w:rsidRPr="003E4389">
        <w:rPr>
          <w:rFonts w:asciiTheme="majorHAnsi" w:eastAsiaTheme="minorHAnsi" w:hAnsiTheme="majorHAnsi" w:cstheme="minorBidi"/>
          <w:sz w:val="36"/>
          <w:szCs w:val="36"/>
        </w:rPr>
        <w:t xml:space="preserve">graduated from Harvard Law School.  Upon graduation, he joined </w:t>
      </w:r>
      <w:proofErr w:type="spellStart"/>
      <w:r w:rsidRPr="003E4389">
        <w:rPr>
          <w:rFonts w:asciiTheme="majorHAnsi" w:eastAsiaTheme="minorHAnsi" w:hAnsiTheme="majorHAnsi" w:cstheme="minorBidi"/>
          <w:sz w:val="36"/>
          <w:szCs w:val="36"/>
        </w:rPr>
        <w:t>Streich</w:t>
      </w:r>
      <w:proofErr w:type="spellEnd"/>
      <w:r w:rsidRPr="003E4389">
        <w:rPr>
          <w:rFonts w:asciiTheme="majorHAnsi" w:eastAsiaTheme="minorHAnsi" w:hAnsiTheme="majorHAnsi" w:cstheme="minorBidi"/>
          <w:sz w:val="36"/>
          <w:szCs w:val="36"/>
        </w:rPr>
        <w:t xml:space="preserve">, Lang, Weeks, and </w:t>
      </w:r>
      <w:proofErr w:type="spellStart"/>
      <w:r w:rsidRPr="003E4389">
        <w:rPr>
          <w:rFonts w:asciiTheme="majorHAnsi" w:eastAsiaTheme="minorHAnsi" w:hAnsiTheme="majorHAnsi" w:cstheme="minorBidi"/>
          <w:sz w:val="36"/>
          <w:szCs w:val="36"/>
        </w:rPr>
        <w:t>Cardon</w:t>
      </w:r>
      <w:proofErr w:type="spellEnd"/>
      <w:r w:rsidRPr="003E4389">
        <w:rPr>
          <w:rFonts w:asciiTheme="majorHAnsi" w:eastAsiaTheme="minorHAnsi" w:hAnsiTheme="majorHAnsi" w:cstheme="minorBidi"/>
          <w:sz w:val="36"/>
          <w:szCs w:val="36"/>
        </w:rPr>
        <w:t xml:space="preserve"> in Phoenix, Ariz.  In 1992, he moved to Las Vegas, Nev</w:t>
      </w:r>
      <w:r w:rsidR="009D1478">
        <w:rPr>
          <w:rFonts w:asciiTheme="majorHAnsi" w:eastAsiaTheme="minorHAnsi" w:hAnsiTheme="majorHAnsi" w:cstheme="minorBidi"/>
          <w:sz w:val="36"/>
          <w:szCs w:val="36"/>
        </w:rPr>
        <w:t>ada</w:t>
      </w:r>
      <w:r w:rsidRPr="003E4389">
        <w:rPr>
          <w:rFonts w:asciiTheme="majorHAnsi" w:eastAsiaTheme="minorHAnsi" w:hAnsiTheme="majorHAnsi" w:cstheme="minorBidi"/>
          <w:sz w:val="36"/>
          <w:szCs w:val="36"/>
        </w:rPr>
        <w:t xml:space="preserve"> where he assisted </w:t>
      </w:r>
      <w:proofErr w:type="spellStart"/>
      <w:r w:rsidRPr="003E4389">
        <w:rPr>
          <w:rFonts w:asciiTheme="majorHAnsi" w:eastAsiaTheme="minorHAnsi" w:hAnsiTheme="majorHAnsi" w:cstheme="minorBidi"/>
          <w:sz w:val="36"/>
          <w:szCs w:val="36"/>
        </w:rPr>
        <w:t>Streich</w:t>
      </w:r>
      <w:proofErr w:type="spellEnd"/>
      <w:r w:rsidRPr="003E4389">
        <w:rPr>
          <w:rFonts w:asciiTheme="majorHAnsi" w:eastAsiaTheme="minorHAnsi" w:hAnsiTheme="majorHAnsi" w:cstheme="minorBidi"/>
          <w:sz w:val="36"/>
          <w:szCs w:val="36"/>
        </w:rPr>
        <w:t xml:space="preserve"> Lang expand into the Las Vegas market through an affiliate of the firm, Dawson and Associates.  In 1994, he </w:t>
      </w:r>
      <w:r w:rsidRPr="003E4389">
        <w:rPr>
          <w:rFonts w:asciiTheme="majorHAnsi" w:eastAsiaTheme="minorHAnsi" w:hAnsiTheme="majorHAnsi" w:cstheme="minorBidi"/>
          <w:sz w:val="36"/>
          <w:szCs w:val="36"/>
        </w:rPr>
        <w:lastRenderedPageBreak/>
        <w:t xml:space="preserve">lateraled to McDonald </w:t>
      </w:r>
      <w:proofErr w:type="spellStart"/>
      <w:r w:rsidRPr="003E4389">
        <w:rPr>
          <w:rFonts w:asciiTheme="majorHAnsi" w:eastAsiaTheme="minorHAnsi" w:hAnsiTheme="majorHAnsi" w:cstheme="minorBidi"/>
          <w:sz w:val="36"/>
          <w:szCs w:val="36"/>
        </w:rPr>
        <w:t>Carano</w:t>
      </w:r>
      <w:proofErr w:type="spellEnd"/>
      <w:r w:rsidRPr="003E4389">
        <w:rPr>
          <w:rFonts w:asciiTheme="majorHAnsi" w:eastAsiaTheme="minorHAnsi" w:hAnsiTheme="majorHAnsi" w:cstheme="minorBidi"/>
          <w:sz w:val="36"/>
          <w:szCs w:val="36"/>
        </w:rPr>
        <w:t xml:space="preserve"> Wilson LLP, working as an associate until 1997, when he became a partner.  He remains with McDonald </w:t>
      </w:r>
      <w:proofErr w:type="spellStart"/>
      <w:r w:rsidRPr="003E4389">
        <w:rPr>
          <w:rFonts w:asciiTheme="majorHAnsi" w:eastAsiaTheme="minorHAnsi" w:hAnsiTheme="majorHAnsi" w:cstheme="minorBidi"/>
          <w:sz w:val="36"/>
          <w:szCs w:val="36"/>
        </w:rPr>
        <w:t>Carano</w:t>
      </w:r>
      <w:proofErr w:type="spellEnd"/>
      <w:r w:rsidRPr="003E4389">
        <w:rPr>
          <w:rFonts w:asciiTheme="majorHAnsi" w:eastAsiaTheme="minorHAnsi" w:hAnsiTheme="majorHAnsi" w:cstheme="minorBidi"/>
          <w:sz w:val="36"/>
          <w:szCs w:val="36"/>
        </w:rPr>
        <w:t xml:space="preserve"> Wilson to this day.</w:t>
      </w:r>
    </w:p>
    <w:p w:rsidR="003E4389" w:rsidRDefault="003E4389" w:rsidP="00EF285E">
      <w:pPr>
        <w:spacing w:line="360" w:lineRule="auto"/>
        <w:ind w:firstLine="720"/>
        <w:rPr>
          <w:rFonts w:asciiTheme="majorHAnsi" w:eastAsiaTheme="minorHAnsi" w:hAnsiTheme="majorHAnsi" w:cstheme="minorBidi"/>
          <w:sz w:val="36"/>
          <w:szCs w:val="36"/>
        </w:rPr>
      </w:pPr>
    </w:p>
    <w:p w:rsidR="003E4389" w:rsidRDefault="003E4389" w:rsidP="00EF285E">
      <w:pPr>
        <w:spacing w:line="360" w:lineRule="auto"/>
        <w:ind w:firstLine="720"/>
        <w:rPr>
          <w:rFonts w:asciiTheme="majorHAnsi" w:eastAsiaTheme="minorHAnsi" w:hAnsiTheme="majorHAnsi" w:cstheme="minorBidi"/>
          <w:sz w:val="36"/>
          <w:szCs w:val="36"/>
        </w:rPr>
      </w:pPr>
      <w:r w:rsidRPr="003E4389">
        <w:rPr>
          <w:rFonts w:asciiTheme="majorHAnsi" w:eastAsiaTheme="minorHAnsi" w:hAnsiTheme="majorHAnsi" w:cstheme="minorBidi"/>
          <w:sz w:val="36"/>
          <w:szCs w:val="36"/>
        </w:rPr>
        <w:t xml:space="preserve">The American Bar Association Standing Committee on the Federal Judiciary has rated </w:t>
      </w:r>
      <w:r w:rsidR="004C69AE">
        <w:rPr>
          <w:rFonts w:asciiTheme="majorHAnsi" w:eastAsiaTheme="minorHAnsi" w:hAnsiTheme="majorHAnsi" w:cstheme="minorBidi"/>
          <w:sz w:val="36"/>
          <w:szCs w:val="36"/>
        </w:rPr>
        <w:t>Mr. Gordon</w:t>
      </w:r>
      <w:r w:rsidRPr="003E4389">
        <w:rPr>
          <w:rFonts w:asciiTheme="majorHAnsi" w:eastAsiaTheme="minorHAnsi" w:hAnsiTheme="majorHAnsi" w:cstheme="minorBidi"/>
          <w:sz w:val="36"/>
          <w:szCs w:val="36"/>
        </w:rPr>
        <w:t xml:space="preserve"> as Substantial majority “</w:t>
      </w:r>
      <w:r>
        <w:rPr>
          <w:rFonts w:asciiTheme="majorHAnsi" w:eastAsiaTheme="minorHAnsi" w:hAnsiTheme="majorHAnsi" w:cstheme="minorBidi"/>
          <w:sz w:val="36"/>
          <w:szCs w:val="36"/>
        </w:rPr>
        <w:t xml:space="preserve">Well </w:t>
      </w:r>
      <w:r w:rsidRPr="003E4389">
        <w:rPr>
          <w:rFonts w:asciiTheme="majorHAnsi" w:eastAsiaTheme="minorHAnsi" w:hAnsiTheme="majorHAnsi" w:cstheme="minorBidi"/>
          <w:sz w:val="36"/>
          <w:szCs w:val="36"/>
        </w:rPr>
        <w:t>Qualified”; Minority “Qualified”.</w:t>
      </w:r>
    </w:p>
    <w:p w:rsidR="003E4389" w:rsidRDefault="003E4389" w:rsidP="00EF285E">
      <w:pPr>
        <w:spacing w:line="360" w:lineRule="auto"/>
        <w:ind w:firstLine="720"/>
        <w:rPr>
          <w:rFonts w:asciiTheme="majorHAnsi" w:eastAsiaTheme="minorHAnsi" w:hAnsiTheme="majorHAnsi" w:cstheme="minorBidi"/>
          <w:sz w:val="36"/>
          <w:szCs w:val="36"/>
        </w:rPr>
      </w:pPr>
    </w:p>
    <w:p w:rsidR="004C69AE" w:rsidRPr="004C69AE" w:rsidRDefault="004C69AE" w:rsidP="004C69AE">
      <w:pPr>
        <w:spacing w:line="360" w:lineRule="auto"/>
        <w:ind w:firstLine="720"/>
        <w:rPr>
          <w:rFonts w:asciiTheme="majorHAnsi" w:eastAsiaTheme="minorHAnsi" w:hAnsiTheme="majorHAnsi" w:cstheme="minorBidi"/>
          <w:sz w:val="36"/>
          <w:szCs w:val="36"/>
        </w:rPr>
      </w:pPr>
      <w:r w:rsidRPr="004C69AE">
        <w:rPr>
          <w:rFonts w:asciiTheme="majorHAnsi" w:eastAsiaTheme="minorHAnsi" w:hAnsiTheme="majorHAnsi" w:cstheme="minorBidi"/>
          <w:sz w:val="36"/>
          <w:szCs w:val="36"/>
        </w:rPr>
        <w:t>Ms. Jackson received her B.A. magna cum laude from Harvard University in 1992 and her J.D. summa cum laude from Harvard Law School in 1996.</w:t>
      </w:r>
    </w:p>
    <w:p w:rsidR="004C69AE" w:rsidRPr="004C69AE" w:rsidRDefault="004C69AE" w:rsidP="004C69AE">
      <w:pPr>
        <w:spacing w:line="360" w:lineRule="auto"/>
        <w:ind w:firstLine="720"/>
        <w:rPr>
          <w:rFonts w:asciiTheme="majorHAnsi" w:eastAsiaTheme="minorHAnsi" w:hAnsiTheme="majorHAnsi" w:cstheme="minorBidi"/>
          <w:sz w:val="36"/>
          <w:szCs w:val="36"/>
        </w:rPr>
      </w:pPr>
    </w:p>
    <w:p w:rsidR="004C69AE" w:rsidRPr="004C69AE" w:rsidRDefault="004C69AE" w:rsidP="004C69AE">
      <w:pPr>
        <w:spacing w:line="360" w:lineRule="auto"/>
        <w:ind w:firstLine="720"/>
        <w:rPr>
          <w:rFonts w:asciiTheme="majorHAnsi" w:eastAsiaTheme="minorHAnsi" w:hAnsiTheme="majorHAnsi" w:cstheme="minorBidi"/>
          <w:sz w:val="36"/>
          <w:szCs w:val="36"/>
        </w:rPr>
      </w:pPr>
      <w:r w:rsidRPr="004C69AE">
        <w:rPr>
          <w:rFonts w:asciiTheme="majorHAnsi" w:eastAsiaTheme="minorHAnsi" w:hAnsiTheme="majorHAnsi" w:cstheme="minorBidi"/>
          <w:sz w:val="36"/>
          <w:szCs w:val="36"/>
        </w:rPr>
        <w:t>Upon graduation, Ms. Jackson clerked for Judge Patti B. Saris of the United States District Court for the District of Massachusetts.  The following year, she served as</w:t>
      </w:r>
      <w:r w:rsidR="009D1478">
        <w:rPr>
          <w:rFonts w:asciiTheme="majorHAnsi" w:eastAsiaTheme="minorHAnsi" w:hAnsiTheme="majorHAnsi" w:cstheme="minorBidi"/>
          <w:sz w:val="36"/>
          <w:szCs w:val="36"/>
        </w:rPr>
        <w:t xml:space="preserve"> a</w:t>
      </w:r>
      <w:r w:rsidRPr="004C69AE">
        <w:rPr>
          <w:rFonts w:asciiTheme="majorHAnsi" w:eastAsiaTheme="minorHAnsi" w:hAnsiTheme="majorHAnsi" w:cstheme="minorBidi"/>
          <w:sz w:val="36"/>
          <w:szCs w:val="36"/>
        </w:rPr>
        <w:t xml:space="preserve"> law clerk for Judge Bruce M. </w:t>
      </w:r>
      <w:proofErr w:type="spellStart"/>
      <w:r w:rsidRPr="004C69AE">
        <w:rPr>
          <w:rFonts w:asciiTheme="majorHAnsi" w:eastAsiaTheme="minorHAnsi" w:hAnsiTheme="majorHAnsi" w:cstheme="minorBidi"/>
          <w:sz w:val="36"/>
          <w:szCs w:val="36"/>
        </w:rPr>
        <w:t>Selya</w:t>
      </w:r>
      <w:proofErr w:type="spellEnd"/>
      <w:r w:rsidRPr="004C69AE">
        <w:rPr>
          <w:rFonts w:asciiTheme="majorHAnsi" w:eastAsiaTheme="minorHAnsi" w:hAnsiTheme="majorHAnsi" w:cstheme="minorBidi"/>
          <w:sz w:val="36"/>
          <w:szCs w:val="36"/>
        </w:rPr>
        <w:t xml:space="preserve"> of the United States Court of Appeals for the First Circuit.  Upon completion of her clerkship, she became an associate at Miller, Cassidy </w:t>
      </w:r>
      <w:proofErr w:type="spellStart"/>
      <w:r w:rsidRPr="004C69AE">
        <w:rPr>
          <w:rFonts w:asciiTheme="majorHAnsi" w:eastAsiaTheme="minorHAnsi" w:hAnsiTheme="majorHAnsi" w:cstheme="minorBidi"/>
          <w:sz w:val="36"/>
          <w:szCs w:val="36"/>
        </w:rPr>
        <w:t>Larroca</w:t>
      </w:r>
      <w:proofErr w:type="spellEnd"/>
      <w:r w:rsidRPr="004C69AE">
        <w:rPr>
          <w:rFonts w:asciiTheme="majorHAnsi" w:eastAsiaTheme="minorHAnsi" w:hAnsiTheme="majorHAnsi" w:cstheme="minorBidi"/>
          <w:sz w:val="36"/>
          <w:szCs w:val="36"/>
        </w:rPr>
        <w:t xml:space="preserve"> &amp; </w:t>
      </w:r>
      <w:proofErr w:type="spellStart"/>
      <w:r w:rsidRPr="004C69AE">
        <w:rPr>
          <w:rFonts w:asciiTheme="majorHAnsi" w:eastAsiaTheme="minorHAnsi" w:hAnsiTheme="majorHAnsi" w:cstheme="minorBidi"/>
          <w:sz w:val="36"/>
          <w:szCs w:val="36"/>
        </w:rPr>
        <w:t>Lewin</w:t>
      </w:r>
      <w:proofErr w:type="spellEnd"/>
      <w:r w:rsidRPr="004C69AE">
        <w:rPr>
          <w:rFonts w:asciiTheme="majorHAnsi" w:eastAsiaTheme="minorHAnsi" w:hAnsiTheme="majorHAnsi" w:cstheme="minorBidi"/>
          <w:sz w:val="36"/>
          <w:szCs w:val="36"/>
        </w:rPr>
        <w:t xml:space="preserve">, LLP, where she worked primarily on matters involving civil rights and breach of contract issues.  In 1999, </w:t>
      </w:r>
      <w:r w:rsidRPr="004C69AE">
        <w:rPr>
          <w:rFonts w:asciiTheme="majorHAnsi" w:eastAsiaTheme="minorHAnsi" w:hAnsiTheme="majorHAnsi" w:cstheme="minorBidi"/>
          <w:sz w:val="36"/>
          <w:szCs w:val="36"/>
        </w:rPr>
        <w:lastRenderedPageBreak/>
        <w:t xml:space="preserve">she left the firm and became law clerk to Associate Justice Stephen G. </w:t>
      </w:r>
      <w:proofErr w:type="spellStart"/>
      <w:r w:rsidRPr="004C69AE">
        <w:rPr>
          <w:rFonts w:asciiTheme="majorHAnsi" w:eastAsiaTheme="minorHAnsi" w:hAnsiTheme="majorHAnsi" w:cstheme="minorBidi"/>
          <w:sz w:val="36"/>
          <w:szCs w:val="36"/>
        </w:rPr>
        <w:t>Breyer</w:t>
      </w:r>
      <w:proofErr w:type="spellEnd"/>
      <w:r w:rsidRPr="004C69AE">
        <w:rPr>
          <w:rFonts w:asciiTheme="majorHAnsi" w:eastAsiaTheme="minorHAnsi" w:hAnsiTheme="majorHAnsi" w:cstheme="minorBidi"/>
          <w:sz w:val="36"/>
          <w:szCs w:val="36"/>
        </w:rPr>
        <w:t xml:space="preserve"> of the Supreme Court of the United States.</w:t>
      </w:r>
    </w:p>
    <w:p w:rsidR="004C69AE" w:rsidRPr="004C69AE" w:rsidRDefault="004C69AE" w:rsidP="004C69AE">
      <w:pPr>
        <w:spacing w:line="360" w:lineRule="auto"/>
        <w:ind w:firstLine="720"/>
        <w:rPr>
          <w:rFonts w:asciiTheme="majorHAnsi" w:eastAsiaTheme="minorHAnsi" w:hAnsiTheme="majorHAnsi" w:cstheme="minorBidi"/>
          <w:sz w:val="36"/>
          <w:szCs w:val="36"/>
        </w:rPr>
      </w:pPr>
    </w:p>
    <w:p w:rsidR="004C69AE" w:rsidRPr="004C69AE" w:rsidRDefault="004C69AE" w:rsidP="004C69AE">
      <w:pPr>
        <w:spacing w:line="360" w:lineRule="auto"/>
        <w:ind w:firstLine="720"/>
        <w:rPr>
          <w:rFonts w:asciiTheme="majorHAnsi" w:eastAsiaTheme="minorHAnsi" w:hAnsiTheme="majorHAnsi" w:cstheme="minorBidi"/>
          <w:sz w:val="36"/>
          <w:szCs w:val="36"/>
        </w:rPr>
      </w:pPr>
      <w:r w:rsidRPr="004C69AE">
        <w:rPr>
          <w:rFonts w:asciiTheme="majorHAnsi" w:eastAsiaTheme="minorHAnsi" w:hAnsiTheme="majorHAnsi" w:cstheme="minorBidi"/>
          <w:sz w:val="36"/>
          <w:szCs w:val="36"/>
        </w:rPr>
        <w:t xml:space="preserve">From 2000 to 2002, Ms. Jackson worked at the Washington, D.C. office of Goodwin Proctor as a general litigation associate.  </w:t>
      </w:r>
      <w:r>
        <w:rPr>
          <w:rFonts w:asciiTheme="majorHAnsi" w:eastAsiaTheme="minorHAnsi" w:hAnsiTheme="majorHAnsi" w:cstheme="minorBidi"/>
          <w:sz w:val="36"/>
          <w:szCs w:val="36"/>
        </w:rPr>
        <w:t xml:space="preserve"> </w:t>
      </w:r>
      <w:r w:rsidRPr="004C69AE">
        <w:rPr>
          <w:rFonts w:asciiTheme="majorHAnsi" w:eastAsiaTheme="minorHAnsi" w:hAnsiTheme="majorHAnsi" w:cstheme="minorBidi"/>
          <w:sz w:val="36"/>
          <w:szCs w:val="36"/>
        </w:rPr>
        <w:t xml:space="preserve">In 2002, Ms. Jackson joined The Feinberg Group (currently Feinberg </w:t>
      </w:r>
      <w:proofErr w:type="spellStart"/>
      <w:r w:rsidRPr="004C69AE">
        <w:rPr>
          <w:rFonts w:asciiTheme="majorHAnsi" w:eastAsiaTheme="minorHAnsi" w:hAnsiTheme="majorHAnsi" w:cstheme="minorBidi"/>
          <w:sz w:val="36"/>
          <w:szCs w:val="36"/>
        </w:rPr>
        <w:t>Rozen</w:t>
      </w:r>
      <w:proofErr w:type="spellEnd"/>
      <w:r w:rsidRPr="004C69AE">
        <w:rPr>
          <w:rFonts w:asciiTheme="majorHAnsi" w:eastAsiaTheme="minorHAnsi" w:hAnsiTheme="majorHAnsi" w:cstheme="minorBidi"/>
          <w:sz w:val="36"/>
          <w:szCs w:val="36"/>
        </w:rPr>
        <w:t>, LLP) as an associate, where she assisted in the negotiated resolution of mass tort claims.  In 2003, Ms. Jackson became an Assistant Special Counsel to the United States Sentencing Commission.  In 2005, Ms. Jackson joined the Federal Public Defender’s Office as an Assistant Federal Public Defender</w:t>
      </w:r>
      <w:r>
        <w:rPr>
          <w:rFonts w:asciiTheme="majorHAnsi" w:eastAsiaTheme="minorHAnsi" w:hAnsiTheme="majorHAnsi" w:cstheme="minorBidi"/>
          <w:sz w:val="36"/>
          <w:szCs w:val="36"/>
        </w:rPr>
        <w:t xml:space="preserve">. </w:t>
      </w:r>
      <w:r w:rsidRPr="004C69AE">
        <w:rPr>
          <w:rFonts w:asciiTheme="majorHAnsi" w:eastAsiaTheme="minorHAnsi" w:hAnsiTheme="majorHAnsi" w:cstheme="minorBidi"/>
          <w:sz w:val="36"/>
          <w:szCs w:val="36"/>
        </w:rPr>
        <w:t xml:space="preserve">Her practice there consisted primarily of appellate work.  </w:t>
      </w:r>
    </w:p>
    <w:p w:rsidR="004C69AE" w:rsidRPr="004C69AE" w:rsidRDefault="004C69AE" w:rsidP="004C69AE">
      <w:pPr>
        <w:spacing w:line="360" w:lineRule="auto"/>
        <w:ind w:firstLine="720"/>
        <w:rPr>
          <w:rFonts w:asciiTheme="majorHAnsi" w:eastAsiaTheme="minorHAnsi" w:hAnsiTheme="majorHAnsi" w:cstheme="minorBidi"/>
          <w:sz w:val="36"/>
          <w:szCs w:val="36"/>
        </w:rPr>
      </w:pPr>
    </w:p>
    <w:p w:rsidR="003E4389" w:rsidRDefault="004C69AE" w:rsidP="004C69AE">
      <w:pPr>
        <w:spacing w:line="360" w:lineRule="auto"/>
        <w:ind w:firstLine="720"/>
        <w:rPr>
          <w:rFonts w:asciiTheme="majorHAnsi" w:eastAsiaTheme="minorHAnsi" w:hAnsiTheme="majorHAnsi" w:cstheme="minorBidi"/>
          <w:sz w:val="36"/>
          <w:szCs w:val="36"/>
        </w:rPr>
      </w:pPr>
      <w:r w:rsidRPr="004C69AE">
        <w:rPr>
          <w:rFonts w:asciiTheme="majorHAnsi" w:eastAsiaTheme="minorHAnsi" w:hAnsiTheme="majorHAnsi" w:cstheme="minorBidi"/>
          <w:sz w:val="36"/>
          <w:szCs w:val="36"/>
        </w:rPr>
        <w:t xml:space="preserve">On February 12, 2010, following Senate confirmation, President Obama appointed Ms. Jackson to be a Commissioner and Vice-Chair of the United States Sentencing Commission.  </w:t>
      </w:r>
      <w:r>
        <w:rPr>
          <w:rFonts w:asciiTheme="majorHAnsi" w:eastAsiaTheme="minorHAnsi" w:hAnsiTheme="majorHAnsi" w:cstheme="minorBidi"/>
          <w:sz w:val="36"/>
          <w:szCs w:val="36"/>
        </w:rPr>
        <w:t xml:space="preserve">  </w:t>
      </w:r>
    </w:p>
    <w:p w:rsidR="004C69AE" w:rsidRDefault="004C69AE" w:rsidP="004C69AE">
      <w:pPr>
        <w:spacing w:line="360" w:lineRule="auto"/>
        <w:ind w:firstLine="720"/>
        <w:rPr>
          <w:rFonts w:asciiTheme="majorHAnsi" w:eastAsiaTheme="minorHAnsi" w:hAnsiTheme="majorHAnsi" w:cstheme="minorBidi"/>
          <w:sz w:val="36"/>
          <w:szCs w:val="36"/>
        </w:rPr>
      </w:pPr>
    </w:p>
    <w:p w:rsidR="004C69AE" w:rsidRDefault="004C69AE" w:rsidP="004C69AE">
      <w:pPr>
        <w:spacing w:line="360" w:lineRule="auto"/>
        <w:ind w:firstLine="720"/>
        <w:rPr>
          <w:rFonts w:asciiTheme="majorHAnsi" w:eastAsiaTheme="minorHAnsi" w:hAnsiTheme="majorHAnsi" w:cstheme="minorBidi"/>
          <w:sz w:val="36"/>
          <w:szCs w:val="36"/>
        </w:rPr>
      </w:pPr>
      <w:r w:rsidRPr="004C69AE">
        <w:rPr>
          <w:rFonts w:asciiTheme="majorHAnsi" w:eastAsiaTheme="minorHAnsi" w:hAnsiTheme="majorHAnsi" w:cstheme="minorBidi"/>
          <w:sz w:val="36"/>
          <w:szCs w:val="36"/>
        </w:rPr>
        <w:lastRenderedPageBreak/>
        <w:t xml:space="preserve">The American Bar Association Standing Committee on the Federal Judiciary has rated </w:t>
      </w:r>
      <w:r w:rsidR="00920A51">
        <w:rPr>
          <w:rFonts w:asciiTheme="majorHAnsi" w:eastAsiaTheme="minorHAnsi" w:hAnsiTheme="majorHAnsi" w:cstheme="minorBidi"/>
          <w:sz w:val="36"/>
          <w:szCs w:val="36"/>
        </w:rPr>
        <w:t>Ms. Jackson</w:t>
      </w:r>
      <w:r w:rsidRPr="004C69AE">
        <w:rPr>
          <w:rFonts w:asciiTheme="majorHAnsi" w:eastAsiaTheme="minorHAnsi" w:hAnsiTheme="majorHAnsi" w:cstheme="minorBidi"/>
          <w:sz w:val="36"/>
          <w:szCs w:val="36"/>
        </w:rPr>
        <w:t xml:space="preserve"> as </w:t>
      </w:r>
      <w:r>
        <w:rPr>
          <w:rFonts w:asciiTheme="majorHAnsi" w:eastAsiaTheme="minorHAnsi" w:hAnsiTheme="majorHAnsi" w:cstheme="minorBidi"/>
          <w:sz w:val="36"/>
          <w:szCs w:val="36"/>
        </w:rPr>
        <w:t xml:space="preserve">Unanimous </w:t>
      </w:r>
      <w:r w:rsidRPr="004C69AE">
        <w:rPr>
          <w:rFonts w:asciiTheme="majorHAnsi" w:eastAsiaTheme="minorHAnsi" w:hAnsiTheme="majorHAnsi" w:cstheme="minorBidi"/>
          <w:sz w:val="36"/>
          <w:szCs w:val="36"/>
        </w:rPr>
        <w:t>“Qualified”.</w:t>
      </w:r>
    </w:p>
    <w:p w:rsidR="004C69AE" w:rsidRPr="004C69AE" w:rsidRDefault="004C69AE" w:rsidP="004C69AE">
      <w:pPr>
        <w:spacing w:line="360" w:lineRule="auto"/>
        <w:ind w:firstLine="720"/>
        <w:rPr>
          <w:rFonts w:asciiTheme="majorHAnsi" w:eastAsiaTheme="minorHAnsi" w:hAnsiTheme="majorHAnsi" w:cstheme="minorBidi"/>
          <w:sz w:val="36"/>
          <w:szCs w:val="36"/>
        </w:rPr>
      </w:pPr>
    </w:p>
    <w:p w:rsidR="004C69AE" w:rsidRDefault="004C69AE" w:rsidP="004C69AE">
      <w:pPr>
        <w:spacing w:line="360" w:lineRule="auto"/>
        <w:ind w:firstLine="720"/>
        <w:rPr>
          <w:rFonts w:asciiTheme="majorHAnsi" w:eastAsiaTheme="minorHAnsi" w:hAnsiTheme="majorHAnsi" w:cstheme="minorBidi"/>
          <w:sz w:val="36"/>
          <w:szCs w:val="36"/>
        </w:rPr>
      </w:pPr>
      <w:r w:rsidRPr="004C69AE">
        <w:rPr>
          <w:rFonts w:asciiTheme="majorHAnsi" w:eastAsiaTheme="minorHAnsi" w:hAnsiTheme="majorHAnsi" w:cstheme="minorBidi"/>
          <w:sz w:val="36"/>
          <w:szCs w:val="36"/>
        </w:rPr>
        <w:t xml:space="preserve">Judge O’Connell received her B.A. from University of California, Los Angeles in 1986 and her J.D. from the Pepperdine University School of Law in 1990. Upon graduation, she worked as a litigation associate at Morrison &amp; </w:t>
      </w:r>
      <w:proofErr w:type="spellStart"/>
      <w:r w:rsidRPr="004C69AE">
        <w:rPr>
          <w:rFonts w:asciiTheme="majorHAnsi" w:eastAsiaTheme="minorHAnsi" w:hAnsiTheme="majorHAnsi" w:cstheme="minorBidi"/>
          <w:sz w:val="36"/>
          <w:szCs w:val="36"/>
        </w:rPr>
        <w:t>Foerster</w:t>
      </w:r>
      <w:proofErr w:type="spellEnd"/>
      <w:r w:rsidRPr="004C69AE">
        <w:rPr>
          <w:rFonts w:asciiTheme="majorHAnsi" w:eastAsiaTheme="minorHAnsi" w:hAnsiTheme="majorHAnsi" w:cstheme="minorBidi"/>
          <w:sz w:val="36"/>
          <w:szCs w:val="36"/>
        </w:rPr>
        <w:t xml:space="preserve">. She had a general practice there, handling business, employment, intellectual property, and bankruptcy matters. In 1995, she joined the United States Attorney’s Office, first in the General Crimes Section, then in the Major Narcotics Section and the Violent and Organized Crime Section. </w:t>
      </w:r>
    </w:p>
    <w:p w:rsidR="004C69AE" w:rsidRDefault="004C69AE" w:rsidP="004C69AE">
      <w:pPr>
        <w:spacing w:line="360" w:lineRule="auto"/>
        <w:ind w:firstLine="720"/>
        <w:rPr>
          <w:rFonts w:asciiTheme="majorHAnsi" w:eastAsiaTheme="minorHAnsi" w:hAnsiTheme="majorHAnsi" w:cstheme="minorBidi"/>
          <w:sz w:val="36"/>
          <w:szCs w:val="36"/>
        </w:rPr>
      </w:pPr>
    </w:p>
    <w:p w:rsidR="004C69AE" w:rsidRDefault="004C69AE" w:rsidP="004C69AE">
      <w:pPr>
        <w:spacing w:line="360" w:lineRule="auto"/>
        <w:ind w:firstLine="720"/>
        <w:rPr>
          <w:rFonts w:asciiTheme="majorHAnsi" w:eastAsiaTheme="minorHAnsi" w:hAnsiTheme="majorHAnsi" w:cstheme="minorBidi"/>
          <w:sz w:val="36"/>
          <w:szCs w:val="36"/>
        </w:rPr>
      </w:pPr>
      <w:r w:rsidRPr="004C69AE">
        <w:rPr>
          <w:rFonts w:asciiTheme="majorHAnsi" w:eastAsiaTheme="minorHAnsi" w:hAnsiTheme="majorHAnsi" w:cstheme="minorBidi"/>
          <w:sz w:val="36"/>
          <w:szCs w:val="36"/>
        </w:rPr>
        <w:t xml:space="preserve">In 2005, Judge O’Connell was appointed by then Governor Schwarzenegger to the Los Angeles Superior Court. There, she presided primarily over criminal cases filed by both the Los Angeles City Attorney and Los Angeles District Attorney’s Office. She was reelected to this position </w:t>
      </w:r>
      <w:r w:rsidRPr="004C69AE">
        <w:rPr>
          <w:rFonts w:asciiTheme="majorHAnsi" w:eastAsiaTheme="minorHAnsi" w:hAnsiTheme="majorHAnsi" w:cstheme="minorBidi"/>
          <w:sz w:val="36"/>
          <w:szCs w:val="36"/>
        </w:rPr>
        <w:lastRenderedPageBreak/>
        <w:t>in 2007. In 2012, she sat as a temporary justice in District Two, Division. There she reviewed briefs, write and drafted opinions in all areas of law, and participated in oral arguments.</w:t>
      </w:r>
    </w:p>
    <w:p w:rsidR="004C69AE" w:rsidRDefault="004C69AE" w:rsidP="004C69AE">
      <w:pPr>
        <w:spacing w:line="360" w:lineRule="auto"/>
        <w:ind w:firstLine="720"/>
        <w:rPr>
          <w:rFonts w:asciiTheme="majorHAnsi" w:eastAsiaTheme="minorHAnsi" w:hAnsiTheme="majorHAnsi" w:cstheme="minorBidi"/>
          <w:sz w:val="36"/>
          <w:szCs w:val="36"/>
        </w:rPr>
      </w:pPr>
    </w:p>
    <w:p w:rsidR="004C69AE" w:rsidRDefault="004C69AE" w:rsidP="004C69AE">
      <w:pPr>
        <w:spacing w:line="360" w:lineRule="auto"/>
        <w:ind w:firstLine="720"/>
        <w:rPr>
          <w:rFonts w:asciiTheme="majorHAnsi" w:eastAsiaTheme="minorHAnsi" w:hAnsiTheme="majorHAnsi" w:cstheme="minorBidi"/>
          <w:sz w:val="36"/>
          <w:szCs w:val="36"/>
        </w:rPr>
      </w:pPr>
      <w:r w:rsidRPr="004C69AE">
        <w:rPr>
          <w:rFonts w:asciiTheme="majorHAnsi" w:eastAsiaTheme="minorHAnsi" w:hAnsiTheme="majorHAnsi" w:cstheme="minorBidi"/>
          <w:sz w:val="36"/>
          <w:szCs w:val="36"/>
        </w:rPr>
        <w:t xml:space="preserve">The American Bar Association Standing Committee on the Federal Judiciary has rated </w:t>
      </w:r>
      <w:r>
        <w:rPr>
          <w:rFonts w:asciiTheme="majorHAnsi" w:eastAsiaTheme="minorHAnsi" w:hAnsiTheme="majorHAnsi" w:cstheme="minorBidi"/>
          <w:sz w:val="36"/>
          <w:szCs w:val="36"/>
        </w:rPr>
        <w:t>Judge O’Connell</w:t>
      </w:r>
      <w:r w:rsidRPr="004C69AE">
        <w:rPr>
          <w:rFonts w:asciiTheme="majorHAnsi" w:eastAsiaTheme="minorHAnsi" w:hAnsiTheme="majorHAnsi" w:cstheme="minorBidi"/>
          <w:sz w:val="36"/>
          <w:szCs w:val="36"/>
        </w:rPr>
        <w:t xml:space="preserve"> as Unanimous “</w:t>
      </w:r>
      <w:r>
        <w:rPr>
          <w:rFonts w:asciiTheme="majorHAnsi" w:eastAsiaTheme="minorHAnsi" w:hAnsiTheme="majorHAnsi" w:cstheme="minorBidi"/>
          <w:sz w:val="36"/>
          <w:szCs w:val="36"/>
        </w:rPr>
        <w:t xml:space="preserve">Well </w:t>
      </w:r>
      <w:r w:rsidRPr="004C69AE">
        <w:rPr>
          <w:rFonts w:asciiTheme="majorHAnsi" w:eastAsiaTheme="minorHAnsi" w:hAnsiTheme="majorHAnsi" w:cstheme="minorBidi"/>
          <w:sz w:val="36"/>
          <w:szCs w:val="36"/>
        </w:rPr>
        <w:t>Qualified”.</w:t>
      </w:r>
    </w:p>
    <w:sectPr w:rsidR="004C69AE" w:rsidSect="00D26B56">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1FD" w:rsidRDefault="009741FD" w:rsidP="00D26B56">
      <w:r>
        <w:separator/>
      </w:r>
    </w:p>
  </w:endnote>
  <w:endnote w:type="continuationSeparator" w:id="0">
    <w:p w:rsidR="009741FD" w:rsidRDefault="009741FD" w:rsidP="00D26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327505"/>
      <w:docPartObj>
        <w:docPartGallery w:val="Page Numbers (Bottom of Page)"/>
        <w:docPartUnique/>
      </w:docPartObj>
    </w:sdtPr>
    <w:sdtEndPr>
      <w:rPr>
        <w:noProof/>
      </w:rPr>
    </w:sdtEndPr>
    <w:sdtContent>
      <w:p w:rsidR="003E4389" w:rsidRDefault="003E4389">
        <w:pPr>
          <w:pStyle w:val="Footer"/>
          <w:jc w:val="center"/>
        </w:pPr>
        <w:r>
          <w:fldChar w:fldCharType="begin"/>
        </w:r>
        <w:r>
          <w:instrText xml:space="preserve"> PAGE   \* MERGEFORMAT </w:instrText>
        </w:r>
        <w:r>
          <w:fldChar w:fldCharType="separate"/>
        </w:r>
        <w:r w:rsidR="00606D80">
          <w:rPr>
            <w:noProof/>
          </w:rPr>
          <w:t>7</w:t>
        </w:r>
        <w:r>
          <w:rPr>
            <w:noProof/>
          </w:rPr>
          <w:fldChar w:fldCharType="end"/>
        </w:r>
      </w:p>
    </w:sdtContent>
  </w:sdt>
  <w:p w:rsidR="003E4389" w:rsidRDefault="003E43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1FD" w:rsidRDefault="009741FD" w:rsidP="00D26B56">
      <w:r>
        <w:separator/>
      </w:r>
    </w:p>
  </w:footnote>
  <w:footnote w:type="continuationSeparator" w:id="0">
    <w:p w:rsidR="009741FD" w:rsidRDefault="009741FD" w:rsidP="00D26B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5CE"/>
    <w:rsid w:val="00075432"/>
    <w:rsid w:val="00082820"/>
    <w:rsid w:val="000C2B86"/>
    <w:rsid w:val="000F1E14"/>
    <w:rsid w:val="00232760"/>
    <w:rsid w:val="00243193"/>
    <w:rsid w:val="002B3B5C"/>
    <w:rsid w:val="002B768F"/>
    <w:rsid w:val="003B4A15"/>
    <w:rsid w:val="003E4389"/>
    <w:rsid w:val="00403500"/>
    <w:rsid w:val="004256A2"/>
    <w:rsid w:val="00441527"/>
    <w:rsid w:val="00475E4E"/>
    <w:rsid w:val="004A0F58"/>
    <w:rsid w:val="004C69AE"/>
    <w:rsid w:val="005175CE"/>
    <w:rsid w:val="00543741"/>
    <w:rsid w:val="005541A4"/>
    <w:rsid w:val="00606D80"/>
    <w:rsid w:val="00674562"/>
    <w:rsid w:val="006D5052"/>
    <w:rsid w:val="0076027D"/>
    <w:rsid w:val="00787413"/>
    <w:rsid w:val="00796566"/>
    <w:rsid w:val="007F56E4"/>
    <w:rsid w:val="00861E41"/>
    <w:rsid w:val="008A15AE"/>
    <w:rsid w:val="008A7823"/>
    <w:rsid w:val="00903936"/>
    <w:rsid w:val="00920A51"/>
    <w:rsid w:val="009567B1"/>
    <w:rsid w:val="009741FD"/>
    <w:rsid w:val="009A25A5"/>
    <w:rsid w:val="009B7E69"/>
    <w:rsid w:val="009D1478"/>
    <w:rsid w:val="00A132A0"/>
    <w:rsid w:val="00A26869"/>
    <w:rsid w:val="00AA29E1"/>
    <w:rsid w:val="00AB4F7D"/>
    <w:rsid w:val="00AC0D2F"/>
    <w:rsid w:val="00B570B3"/>
    <w:rsid w:val="00BA67F9"/>
    <w:rsid w:val="00BC254F"/>
    <w:rsid w:val="00CB472B"/>
    <w:rsid w:val="00CC7ABA"/>
    <w:rsid w:val="00CE36B7"/>
    <w:rsid w:val="00D10323"/>
    <w:rsid w:val="00D26B56"/>
    <w:rsid w:val="00D8282B"/>
    <w:rsid w:val="00DD67D4"/>
    <w:rsid w:val="00E23792"/>
    <w:rsid w:val="00EB01DF"/>
    <w:rsid w:val="00EF2440"/>
    <w:rsid w:val="00EF285E"/>
    <w:rsid w:val="00FC03BE"/>
    <w:rsid w:val="00FE0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5CE"/>
    <w:pPr>
      <w:spacing w:after="0" w:line="240" w:lineRule="auto"/>
    </w:pPr>
    <w:rPr>
      <w:rFonts w:ascii="Calibri" w:eastAsia="Times New Roman"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0808"/>
    <w:rPr>
      <w:rFonts w:ascii="Tahoma" w:hAnsi="Tahoma" w:cs="Tahoma"/>
      <w:sz w:val="16"/>
      <w:szCs w:val="16"/>
    </w:rPr>
  </w:style>
  <w:style w:type="character" w:customStyle="1" w:styleId="BalloonTextChar">
    <w:name w:val="Balloon Text Char"/>
    <w:basedOn w:val="DefaultParagraphFont"/>
    <w:link w:val="BalloonText"/>
    <w:uiPriority w:val="99"/>
    <w:semiHidden/>
    <w:rsid w:val="00FE0808"/>
    <w:rPr>
      <w:rFonts w:ascii="Tahoma" w:eastAsia="Times New Roman" w:hAnsi="Tahoma" w:cs="Tahoma"/>
      <w:sz w:val="16"/>
      <w:szCs w:val="16"/>
    </w:rPr>
  </w:style>
  <w:style w:type="paragraph" w:styleId="Header">
    <w:name w:val="header"/>
    <w:basedOn w:val="Normal"/>
    <w:link w:val="HeaderChar"/>
    <w:uiPriority w:val="99"/>
    <w:unhideWhenUsed/>
    <w:rsid w:val="00D26B56"/>
    <w:pPr>
      <w:tabs>
        <w:tab w:val="center" w:pos="4680"/>
        <w:tab w:val="right" w:pos="9360"/>
      </w:tabs>
    </w:pPr>
  </w:style>
  <w:style w:type="character" w:customStyle="1" w:styleId="HeaderChar">
    <w:name w:val="Header Char"/>
    <w:basedOn w:val="DefaultParagraphFont"/>
    <w:link w:val="Header"/>
    <w:uiPriority w:val="99"/>
    <w:rsid w:val="00D26B56"/>
    <w:rPr>
      <w:rFonts w:ascii="Calibri" w:eastAsia="Times New Roman" w:hAnsi="Calibri" w:cs="Calibri"/>
      <w:sz w:val="22"/>
      <w:szCs w:val="22"/>
    </w:rPr>
  </w:style>
  <w:style w:type="paragraph" w:styleId="Footer">
    <w:name w:val="footer"/>
    <w:basedOn w:val="Normal"/>
    <w:link w:val="FooterChar"/>
    <w:uiPriority w:val="99"/>
    <w:unhideWhenUsed/>
    <w:rsid w:val="00D26B56"/>
    <w:pPr>
      <w:tabs>
        <w:tab w:val="center" w:pos="4680"/>
        <w:tab w:val="right" w:pos="9360"/>
      </w:tabs>
    </w:pPr>
  </w:style>
  <w:style w:type="character" w:customStyle="1" w:styleId="FooterChar">
    <w:name w:val="Footer Char"/>
    <w:basedOn w:val="DefaultParagraphFont"/>
    <w:link w:val="Footer"/>
    <w:uiPriority w:val="99"/>
    <w:rsid w:val="00D26B56"/>
    <w:rPr>
      <w:rFonts w:ascii="Calibri" w:eastAsia="Times New Roman"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5CE"/>
    <w:pPr>
      <w:spacing w:after="0" w:line="240" w:lineRule="auto"/>
    </w:pPr>
    <w:rPr>
      <w:rFonts w:ascii="Calibri" w:eastAsia="Times New Roman"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0808"/>
    <w:rPr>
      <w:rFonts w:ascii="Tahoma" w:hAnsi="Tahoma" w:cs="Tahoma"/>
      <w:sz w:val="16"/>
      <w:szCs w:val="16"/>
    </w:rPr>
  </w:style>
  <w:style w:type="character" w:customStyle="1" w:styleId="BalloonTextChar">
    <w:name w:val="Balloon Text Char"/>
    <w:basedOn w:val="DefaultParagraphFont"/>
    <w:link w:val="BalloonText"/>
    <w:uiPriority w:val="99"/>
    <w:semiHidden/>
    <w:rsid w:val="00FE0808"/>
    <w:rPr>
      <w:rFonts w:ascii="Tahoma" w:eastAsia="Times New Roman" w:hAnsi="Tahoma" w:cs="Tahoma"/>
      <w:sz w:val="16"/>
      <w:szCs w:val="16"/>
    </w:rPr>
  </w:style>
  <w:style w:type="paragraph" w:styleId="Header">
    <w:name w:val="header"/>
    <w:basedOn w:val="Normal"/>
    <w:link w:val="HeaderChar"/>
    <w:uiPriority w:val="99"/>
    <w:unhideWhenUsed/>
    <w:rsid w:val="00D26B56"/>
    <w:pPr>
      <w:tabs>
        <w:tab w:val="center" w:pos="4680"/>
        <w:tab w:val="right" w:pos="9360"/>
      </w:tabs>
    </w:pPr>
  </w:style>
  <w:style w:type="character" w:customStyle="1" w:styleId="HeaderChar">
    <w:name w:val="Header Char"/>
    <w:basedOn w:val="DefaultParagraphFont"/>
    <w:link w:val="Header"/>
    <w:uiPriority w:val="99"/>
    <w:rsid w:val="00D26B56"/>
    <w:rPr>
      <w:rFonts w:ascii="Calibri" w:eastAsia="Times New Roman" w:hAnsi="Calibri" w:cs="Calibri"/>
      <w:sz w:val="22"/>
      <w:szCs w:val="22"/>
    </w:rPr>
  </w:style>
  <w:style w:type="paragraph" w:styleId="Footer">
    <w:name w:val="footer"/>
    <w:basedOn w:val="Normal"/>
    <w:link w:val="FooterChar"/>
    <w:uiPriority w:val="99"/>
    <w:unhideWhenUsed/>
    <w:rsid w:val="00D26B56"/>
    <w:pPr>
      <w:tabs>
        <w:tab w:val="center" w:pos="4680"/>
        <w:tab w:val="right" w:pos="9360"/>
      </w:tabs>
    </w:pPr>
  </w:style>
  <w:style w:type="character" w:customStyle="1" w:styleId="FooterChar">
    <w:name w:val="Footer Char"/>
    <w:basedOn w:val="DefaultParagraphFont"/>
    <w:link w:val="Footer"/>
    <w:uiPriority w:val="99"/>
    <w:rsid w:val="00D26B56"/>
    <w:rPr>
      <w:rFonts w:ascii="Calibri" w:eastAsia="Times New Roman"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776932">
      <w:bodyDiv w:val="1"/>
      <w:marLeft w:val="0"/>
      <w:marRight w:val="0"/>
      <w:marTop w:val="0"/>
      <w:marBottom w:val="0"/>
      <w:divBdr>
        <w:top w:val="none" w:sz="0" w:space="0" w:color="auto"/>
        <w:left w:val="none" w:sz="0" w:space="0" w:color="auto"/>
        <w:bottom w:val="none" w:sz="0" w:space="0" w:color="auto"/>
        <w:right w:val="none" w:sz="0" w:space="0" w:color="auto"/>
      </w:divBdr>
    </w:div>
    <w:div w:id="789393495">
      <w:bodyDiv w:val="1"/>
      <w:marLeft w:val="0"/>
      <w:marRight w:val="0"/>
      <w:marTop w:val="0"/>
      <w:marBottom w:val="0"/>
      <w:divBdr>
        <w:top w:val="none" w:sz="0" w:space="0" w:color="auto"/>
        <w:left w:val="none" w:sz="0" w:space="0" w:color="auto"/>
        <w:bottom w:val="none" w:sz="0" w:space="0" w:color="auto"/>
        <w:right w:val="none" w:sz="0" w:space="0" w:color="auto"/>
      </w:divBdr>
    </w:div>
    <w:div w:id="206374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894</Words>
  <Characters>5099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Windows User</cp:lastModifiedBy>
  <cp:revision>2</cp:revision>
  <cp:lastPrinted>2012-09-18T22:11:00Z</cp:lastPrinted>
  <dcterms:created xsi:type="dcterms:W3CDTF">2012-12-19T22:03:00Z</dcterms:created>
  <dcterms:modified xsi:type="dcterms:W3CDTF">2012-12-19T22:03:00Z</dcterms:modified>
</cp:coreProperties>
</file>