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5CE" w:rsidRPr="00272CA7" w:rsidRDefault="005175CE" w:rsidP="005175CE">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 xml:space="preserve">Statement of Senator </w:t>
      </w:r>
      <w:r>
        <w:rPr>
          <w:rFonts w:asciiTheme="majorHAnsi" w:hAnsiTheme="majorHAnsi" w:cs="Times New Roman"/>
          <w:b/>
          <w:bCs/>
          <w:sz w:val="28"/>
          <w:szCs w:val="28"/>
          <w:lang w:val="en-CA"/>
        </w:rPr>
        <w:t>Chuck Grassley</w:t>
      </w:r>
    </w:p>
    <w:p w:rsidR="005175CE" w:rsidRPr="00272CA7" w:rsidRDefault="005175CE" w:rsidP="005175CE">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Before the Committee on the Judiciary</w:t>
      </w:r>
    </w:p>
    <w:p w:rsidR="005175CE" w:rsidRPr="00272CA7" w:rsidRDefault="005175CE" w:rsidP="005175CE">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 xml:space="preserve">On the Nominations of:  </w:t>
      </w:r>
    </w:p>
    <w:p w:rsidR="005175CE" w:rsidRPr="00272CA7" w:rsidRDefault="005175CE" w:rsidP="005175CE">
      <w:pPr>
        <w:rPr>
          <w:rFonts w:asciiTheme="majorHAnsi" w:hAnsiTheme="majorHAnsi" w:cs="Times New Roman"/>
          <w:bCs/>
          <w:i/>
          <w:sz w:val="26"/>
          <w:szCs w:val="26"/>
        </w:rPr>
      </w:pPr>
    </w:p>
    <w:p w:rsidR="005175CE" w:rsidRPr="000C2B86" w:rsidRDefault="005175CE" w:rsidP="005175CE">
      <w:pPr>
        <w:rPr>
          <w:rFonts w:asciiTheme="majorHAnsi" w:hAnsiTheme="majorHAnsi" w:cs="Times New Roman"/>
          <w:i/>
          <w:sz w:val="24"/>
          <w:szCs w:val="24"/>
        </w:rPr>
      </w:pPr>
    </w:p>
    <w:p w:rsidR="00D8282B" w:rsidRPr="000C2B86" w:rsidRDefault="00D8282B" w:rsidP="00D8282B">
      <w:pPr>
        <w:jc w:val="center"/>
        <w:rPr>
          <w:rFonts w:ascii="Times New Roman" w:eastAsia="Calibri" w:hAnsi="Times New Roman" w:cs="Times New Roman"/>
          <w:i/>
          <w:sz w:val="24"/>
          <w:szCs w:val="24"/>
        </w:rPr>
      </w:pPr>
      <w:r w:rsidRPr="000C2B86">
        <w:rPr>
          <w:rFonts w:ascii="Times New Roman" w:eastAsia="Calibri" w:hAnsi="Times New Roman" w:cs="Times New Roman"/>
          <w:i/>
          <w:sz w:val="24"/>
          <w:szCs w:val="24"/>
        </w:rPr>
        <w:t xml:space="preserve">Katherine Polk </w:t>
      </w:r>
      <w:proofErr w:type="spellStart"/>
      <w:r w:rsidRPr="000C2B86">
        <w:rPr>
          <w:rFonts w:ascii="Times New Roman" w:eastAsia="Calibri" w:hAnsi="Times New Roman" w:cs="Times New Roman"/>
          <w:i/>
          <w:sz w:val="24"/>
          <w:szCs w:val="24"/>
        </w:rPr>
        <w:t>Failla</w:t>
      </w:r>
      <w:proofErr w:type="spellEnd"/>
      <w:r w:rsidRPr="000C2B86">
        <w:rPr>
          <w:rFonts w:ascii="Times New Roman" w:eastAsia="Calibri" w:hAnsi="Times New Roman" w:cs="Times New Roman"/>
          <w:i/>
          <w:sz w:val="24"/>
          <w:szCs w:val="24"/>
        </w:rPr>
        <w:t>, to be United States District Judge for the Southern District of New York</w:t>
      </w:r>
    </w:p>
    <w:p w:rsidR="00D8282B" w:rsidRPr="000C2B86" w:rsidRDefault="00D8282B" w:rsidP="00D8282B">
      <w:pPr>
        <w:jc w:val="center"/>
        <w:rPr>
          <w:rFonts w:ascii="Times New Roman" w:eastAsia="Calibri" w:hAnsi="Times New Roman" w:cs="Times New Roman"/>
          <w:i/>
          <w:sz w:val="24"/>
          <w:szCs w:val="24"/>
        </w:rPr>
      </w:pPr>
    </w:p>
    <w:p w:rsidR="00D8282B" w:rsidRPr="000C2B86" w:rsidRDefault="00D8282B" w:rsidP="00D8282B">
      <w:pPr>
        <w:jc w:val="center"/>
        <w:rPr>
          <w:rFonts w:ascii="Times New Roman" w:eastAsia="Calibri" w:hAnsi="Times New Roman" w:cs="Times New Roman"/>
          <w:i/>
          <w:sz w:val="24"/>
          <w:szCs w:val="24"/>
        </w:rPr>
      </w:pPr>
      <w:r w:rsidRPr="000C2B86">
        <w:rPr>
          <w:rFonts w:ascii="Times New Roman" w:eastAsia="Calibri" w:hAnsi="Times New Roman" w:cs="Times New Roman"/>
          <w:i/>
          <w:sz w:val="24"/>
          <w:szCs w:val="24"/>
        </w:rPr>
        <w:t>Pamela Ki Mai Chen, to be United States District Judge for the Eastern District of New York</w:t>
      </w:r>
    </w:p>
    <w:p w:rsidR="00D8282B" w:rsidRPr="000C2B86" w:rsidRDefault="00D8282B" w:rsidP="00D8282B">
      <w:pPr>
        <w:jc w:val="center"/>
        <w:rPr>
          <w:rFonts w:ascii="Times New Roman" w:eastAsia="Calibri" w:hAnsi="Times New Roman" w:cs="Times New Roman"/>
          <w:i/>
          <w:sz w:val="24"/>
          <w:szCs w:val="24"/>
        </w:rPr>
      </w:pPr>
    </w:p>
    <w:p w:rsidR="00D8282B" w:rsidRPr="000C2B86" w:rsidRDefault="00D8282B" w:rsidP="00D8282B">
      <w:pPr>
        <w:jc w:val="center"/>
        <w:rPr>
          <w:rFonts w:ascii="Times New Roman" w:eastAsia="Calibri" w:hAnsi="Times New Roman" w:cs="Times New Roman"/>
          <w:i/>
          <w:sz w:val="24"/>
          <w:szCs w:val="24"/>
        </w:rPr>
      </w:pPr>
      <w:r w:rsidRPr="000C2B86">
        <w:rPr>
          <w:rFonts w:ascii="Times New Roman" w:eastAsia="Calibri" w:hAnsi="Times New Roman" w:cs="Times New Roman"/>
          <w:i/>
          <w:sz w:val="24"/>
          <w:szCs w:val="24"/>
        </w:rPr>
        <w:t xml:space="preserve">Troy L. </w:t>
      </w:r>
      <w:proofErr w:type="spellStart"/>
      <w:r w:rsidRPr="000C2B86">
        <w:rPr>
          <w:rFonts w:ascii="Times New Roman" w:eastAsia="Calibri" w:hAnsi="Times New Roman" w:cs="Times New Roman"/>
          <w:i/>
          <w:sz w:val="24"/>
          <w:szCs w:val="24"/>
        </w:rPr>
        <w:t>Nunley</w:t>
      </w:r>
      <w:proofErr w:type="spellEnd"/>
      <w:r w:rsidRPr="000C2B86">
        <w:rPr>
          <w:rFonts w:ascii="Times New Roman" w:eastAsia="Calibri" w:hAnsi="Times New Roman" w:cs="Times New Roman"/>
          <w:i/>
          <w:sz w:val="24"/>
          <w:szCs w:val="24"/>
        </w:rPr>
        <w:t>, to be United States District Judge for the Eastern District of California</w:t>
      </w:r>
    </w:p>
    <w:p w:rsidR="00D8282B" w:rsidRPr="000C2B86" w:rsidRDefault="00D8282B" w:rsidP="00D8282B">
      <w:pPr>
        <w:jc w:val="center"/>
        <w:rPr>
          <w:rFonts w:ascii="Times New Roman" w:eastAsia="Calibri" w:hAnsi="Times New Roman" w:cs="Times New Roman"/>
          <w:i/>
          <w:sz w:val="24"/>
          <w:szCs w:val="24"/>
        </w:rPr>
      </w:pPr>
    </w:p>
    <w:p w:rsidR="00D8282B" w:rsidRPr="000C2B86" w:rsidRDefault="00D8282B" w:rsidP="00D8282B">
      <w:pPr>
        <w:jc w:val="center"/>
        <w:rPr>
          <w:rFonts w:ascii="Times New Roman" w:eastAsia="Calibri" w:hAnsi="Times New Roman" w:cs="Times New Roman"/>
          <w:i/>
          <w:sz w:val="24"/>
          <w:szCs w:val="24"/>
        </w:rPr>
      </w:pPr>
      <w:r w:rsidRPr="000C2B86">
        <w:rPr>
          <w:rFonts w:ascii="Times New Roman" w:eastAsia="Calibri" w:hAnsi="Times New Roman" w:cs="Times New Roman"/>
          <w:i/>
          <w:sz w:val="24"/>
          <w:szCs w:val="24"/>
        </w:rPr>
        <w:t xml:space="preserve">Sheri </w:t>
      </w:r>
      <w:proofErr w:type="spellStart"/>
      <w:r w:rsidRPr="000C2B86">
        <w:rPr>
          <w:rFonts w:ascii="Times New Roman" w:eastAsia="Calibri" w:hAnsi="Times New Roman" w:cs="Times New Roman"/>
          <w:i/>
          <w:sz w:val="24"/>
          <w:szCs w:val="24"/>
        </w:rPr>
        <w:t>Polster</w:t>
      </w:r>
      <w:proofErr w:type="spellEnd"/>
      <w:r w:rsidRPr="000C2B86">
        <w:rPr>
          <w:rFonts w:ascii="Times New Roman" w:eastAsia="Calibri" w:hAnsi="Times New Roman" w:cs="Times New Roman"/>
          <w:i/>
          <w:sz w:val="24"/>
          <w:szCs w:val="24"/>
        </w:rPr>
        <w:t xml:space="preserve"> Chappell, to be United States District Judge for the Middle District of Florida</w:t>
      </w:r>
    </w:p>
    <w:p w:rsidR="00D8282B" w:rsidRPr="000C2B86" w:rsidRDefault="00D8282B" w:rsidP="00D8282B">
      <w:pPr>
        <w:jc w:val="center"/>
        <w:rPr>
          <w:rFonts w:ascii="Times New Roman" w:eastAsia="Calibri" w:hAnsi="Times New Roman" w:cs="Times New Roman"/>
          <w:i/>
          <w:sz w:val="24"/>
          <w:szCs w:val="24"/>
        </w:rPr>
      </w:pPr>
    </w:p>
    <w:p w:rsidR="00D8282B" w:rsidRPr="000C2B86" w:rsidRDefault="00D8282B" w:rsidP="00D8282B">
      <w:pPr>
        <w:jc w:val="center"/>
        <w:rPr>
          <w:rFonts w:ascii="Times New Roman" w:eastAsia="Calibri" w:hAnsi="Times New Roman" w:cs="Times New Roman"/>
          <w:i/>
          <w:sz w:val="24"/>
          <w:szCs w:val="24"/>
        </w:rPr>
      </w:pPr>
      <w:r w:rsidRPr="000C2B86">
        <w:rPr>
          <w:rFonts w:ascii="Times New Roman" w:eastAsia="Calibri" w:hAnsi="Times New Roman" w:cs="Times New Roman"/>
          <w:i/>
          <w:sz w:val="24"/>
          <w:szCs w:val="24"/>
        </w:rPr>
        <w:t>Mark A. Barnett, to be a Judge of the United States Court of International Trade</w:t>
      </w:r>
    </w:p>
    <w:p w:rsidR="00D8282B" w:rsidRPr="00D8282B" w:rsidRDefault="00D8282B" w:rsidP="00D8282B">
      <w:pPr>
        <w:rPr>
          <w:rFonts w:eastAsia="Calibri"/>
          <w:i/>
        </w:rPr>
      </w:pPr>
    </w:p>
    <w:p w:rsidR="005175CE" w:rsidRDefault="005175CE" w:rsidP="005175CE">
      <w:pPr>
        <w:rPr>
          <w:rFonts w:asciiTheme="majorHAnsi" w:hAnsiTheme="majorHAnsi" w:cs="Times New Roman"/>
          <w:i/>
          <w:sz w:val="28"/>
          <w:szCs w:val="28"/>
        </w:rPr>
      </w:pPr>
    </w:p>
    <w:p w:rsidR="005175CE" w:rsidRDefault="005175CE" w:rsidP="005175CE">
      <w:pPr>
        <w:jc w:val="center"/>
        <w:rPr>
          <w:rFonts w:asciiTheme="majorHAnsi" w:hAnsiTheme="majorHAnsi" w:cs="Times New Roman"/>
          <w:b/>
          <w:sz w:val="28"/>
          <w:szCs w:val="28"/>
        </w:rPr>
      </w:pPr>
    </w:p>
    <w:p w:rsidR="005175CE" w:rsidRDefault="00D8282B" w:rsidP="005175CE">
      <w:pPr>
        <w:jc w:val="center"/>
        <w:rPr>
          <w:rFonts w:asciiTheme="majorHAnsi" w:hAnsiTheme="majorHAnsi" w:cs="Times New Roman"/>
          <w:b/>
          <w:sz w:val="28"/>
          <w:szCs w:val="28"/>
        </w:rPr>
      </w:pPr>
      <w:r>
        <w:rPr>
          <w:rFonts w:asciiTheme="majorHAnsi" w:hAnsiTheme="majorHAnsi" w:cs="Times New Roman"/>
          <w:b/>
          <w:sz w:val="28"/>
          <w:szCs w:val="28"/>
        </w:rPr>
        <w:t>September 19, 2012</w:t>
      </w:r>
    </w:p>
    <w:p w:rsidR="005175CE" w:rsidRPr="00272CA7" w:rsidRDefault="005175CE" w:rsidP="005175CE">
      <w:pPr>
        <w:jc w:val="center"/>
        <w:rPr>
          <w:rFonts w:ascii="Times New Roman" w:hAnsi="Times New Roman" w:cs="Times New Roman"/>
          <w:sz w:val="24"/>
          <w:szCs w:val="24"/>
        </w:rPr>
      </w:pPr>
    </w:p>
    <w:p w:rsidR="005175CE" w:rsidRDefault="005175CE" w:rsidP="005175CE"/>
    <w:p w:rsidR="00CE36B7" w:rsidRDefault="005175CE" w:rsidP="009567B1">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I join you in welcoming the nominees</w:t>
      </w:r>
      <w:r w:rsidR="004A0F58">
        <w:rPr>
          <w:rFonts w:asciiTheme="majorHAnsi" w:eastAsiaTheme="minorHAnsi" w:hAnsiTheme="majorHAnsi" w:cstheme="minorBidi"/>
          <w:sz w:val="36"/>
          <w:szCs w:val="36"/>
        </w:rPr>
        <w:t xml:space="preserve">, their </w:t>
      </w:r>
      <w:r w:rsidR="008A15AE">
        <w:rPr>
          <w:rFonts w:asciiTheme="majorHAnsi" w:eastAsiaTheme="minorHAnsi" w:hAnsiTheme="majorHAnsi" w:cstheme="minorBidi"/>
          <w:sz w:val="36"/>
          <w:szCs w:val="36"/>
        </w:rPr>
        <w:t>families, friends, and other guests.</w:t>
      </w:r>
      <w:r w:rsidR="00E23792">
        <w:rPr>
          <w:rFonts w:asciiTheme="majorHAnsi" w:eastAsiaTheme="minorHAnsi" w:hAnsiTheme="majorHAnsi" w:cstheme="minorBidi"/>
          <w:sz w:val="36"/>
          <w:szCs w:val="36"/>
        </w:rPr>
        <w:t xml:space="preserve"> </w:t>
      </w:r>
      <w:r w:rsidR="009B7E69">
        <w:rPr>
          <w:rFonts w:asciiTheme="majorHAnsi" w:eastAsiaTheme="minorHAnsi" w:hAnsiTheme="majorHAnsi" w:cstheme="minorBidi"/>
          <w:sz w:val="36"/>
          <w:szCs w:val="36"/>
        </w:rPr>
        <w:t xml:space="preserve"> We have</w:t>
      </w:r>
      <w:r w:rsidR="009567B1">
        <w:rPr>
          <w:rFonts w:asciiTheme="majorHAnsi" w:eastAsiaTheme="minorHAnsi" w:hAnsiTheme="majorHAnsi" w:cstheme="minorBidi"/>
          <w:sz w:val="36"/>
          <w:szCs w:val="36"/>
        </w:rPr>
        <w:t xml:space="preserve"> </w:t>
      </w:r>
      <w:r w:rsidR="000C2B86">
        <w:rPr>
          <w:rFonts w:asciiTheme="majorHAnsi" w:eastAsiaTheme="minorHAnsi" w:hAnsiTheme="majorHAnsi" w:cstheme="minorBidi"/>
          <w:sz w:val="36"/>
          <w:szCs w:val="36"/>
        </w:rPr>
        <w:t>four</w:t>
      </w:r>
      <w:r w:rsidR="009567B1">
        <w:rPr>
          <w:rFonts w:asciiTheme="majorHAnsi" w:eastAsiaTheme="minorHAnsi" w:hAnsiTheme="majorHAnsi" w:cstheme="minorBidi"/>
          <w:sz w:val="36"/>
          <w:szCs w:val="36"/>
        </w:rPr>
        <w:t xml:space="preserve"> District Court nominees </w:t>
      </w:r>
      <w:r w:rsidR="000C2B86">
        <w:rPr>
          <w:rFonts w:asciiTheme="majorHAnsi" w:eastAsiaTheme="minorHAnsi" w:hAnsiTheme="majorHAnsi" w:cstheme="minorBidi"/>
          <w:sz w:val="36"/>
          <w:szCs w:val="36"/>
        </w:rPr>
        <w:t>before us today</w:t>
      </w:r>
      <w:r w:rsidR="00D10323">
        <w:rPr>
          <w:rFonts w:asciiTheme="majorHAnsi" w:eastAsiaTheme="minorHAnsi" w:hAnsiTheme="majorHAnsi" w:cstheme="minorBidi"/>
          <w:sz w:val="36"/>
          <w:szCs w:val="36"/>
        </w:rPr>
        <w:t xml:space="preserve">, </w:t>
      </w:r>
      <w:r w:rsidR="000C2B86">
        <w:rPr>
          <w:rFonts w:asciiTheme="majorHAnsi" w:eastAsiaTheme="minorHAnsi" w:hAnsiTheme="majorHAnsi" w:cstheme="minorBidi"/>
          <w:sz w:val="36"/>
          <w:szCs w:val="36"/>
        </w:rPr>
        <w:t>as well as a nominee to the Court of International Trade.</w:t>
      </w:r>
    </w:p>
    <w:p w:rsidR="002B768F" w:rsidRDefault="002B768F" w:rsidP="009567B1">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With today’s hearing, d</w:t>
      </w:r>
      <w:r w:rsidR="008A15AE">
        <w:rPr>
          <w:rFonts w:asciiTheme="majorHAnsi" w:eastAsiaTheme="minorHAnsi" w:hAnsiTheme="majorHAnsi" w:cstheme="minorBidi"/>
          <w:sz w:val="36"/>
          <w:szCs w:val="36"/>
        </w:rPr>
        <w:t>uring this Congress</w:t>
      </w:r>
      <w:r w:rsidR="00D10323">
        <w:rPr>
          <w:rFonts w:asciiTheme="majorHAnsi" w:eastAsiaTheme="minorHAnsi" w:hAnsiTheme="majorHAnsi" w:cstheme="minorBidi"/>
          <w:sz w:val="36"/>
          <w:szCs w:val="36"/>
        </w:rPr>
        <w:t xml:space="preserve"> we have </w:t>
      </w:r>
      <w:r>
        <w:rPr>
          <w:rFonts w:asciiTheme="majorHAnsi" w:eastAsiaTheme="minorHAnsi" w:hAnsiTheme="majorHAnsi" w:cstheme="minorBidi"/>
          <w:sz w:val="36"/>
          <w:szCs w:val="36"/>
        </w:rPr>
        <w:t>convened</w:t>
      </w:r>
      <w:r w:rsidR="00D10323">
        <w:rPr>
          <w:rFonts w:asciiTheme="majorHAnsi" w:eastAsiaTheme="minorHAnsi" w:hAnsiTheme="majorHAnsi" w:cstheme="minorBidi"/>
          <w:sz w:val="36"/>
          <w:szCs w:val="36"/>
        </w:rPr>
        <w:t xml:space="preserve"> </w:t>
      </w:r>
      <w:r>
        <w:rPr>
          <w:rFonts w:asciiTheme="majorHAnsi" w:eastAsiaTheme="minorHAnsi" w:hAnsiTheme="majorHAnsi" w:cstheme="minorBidi"/>
          <w:sz w:val="36"/>
          <w:szCs w:val="36"/>
        </w:rPr>
        <w:t>28</w:t>
      </w:r>
      <w:r w:rsidR="00D10323">
        <w:rPr>
          <w:rFonts w:asciiTheme="majorHAnsi" w:eastAsiaTheme="minorHAnsi" w:hAnsiTheme="majorHAnsi" w:cstheme="minorBidi"/>
          <w:sz w:val="36"/>
          <w:szCs w:val="36"/>
        </w:rPr>
        <w:t xml:space="preserve"> nomination hearings </w:t>
      </w:r>
      <w:r w:rsidR="00FE0808">
        <w:rPr>
          <w:rFonts w:asciiTheme="majorHAnsi" w:eastAsiaTheme="minorHAnsi" w:hAnsiTheme="majorHAnsi" w:cstheme="minorBidi"/>
          <w:sz w:val="36"/>
          <w:szCs w:val="36"/>
        </w:rPr>
        <w:t xml:space="preserve">for </w:t>
      </w:r>
      <w:r>
        <w:rPr>
          <w:rFonts w:asciiTheme="majorHAnsi" w:eastAsiaTheme="minorHAnsi" w:hAnsiTheme="majorHAnsi" w:cstheme="minorBidi"/>
          <w:sz w:val="36"/>
          <w:szCs w:val="36"/>
        </w:rPr>
        <w:t>112 judicial nominees</w:t>
      </w:r>
      <w:r w:rsidR="009567B1">
        <w:rPr>
          <w:rFonts w:asciiTheme="majorHAnsi" w:eastAsiaTheme="minorHAnsi" w:hAnsiTheme="majorHAnsi" w:cstheme="minorBidi"/>
          <w:sz w:val="36"/>
          <w:szCs w:val="36"/>
        </w:rPr>
        <w:t xml:space="preserve">. </w:t>
      </w:r>
      <w:r w:rsidR="00D10323">
        <w:rPr>
          <w:rFonts w:asciiTheme="majorHAnsi" w:eastAsiaTheme="minorHAnsi" w:hAnsiTheme="majorHAnsi" w:cstheme="minorBidi"/>
          <w:sz w:val="36"/>
          <w:szCs w:val="36"/>
        </w:rPr>
        <w:t xml:space="preserve"> </w:t>
      </w:r>
      <w:r>
        <w:rPr>
          <w:rFonts w:asciiTheme="majorHAnsi" w:eastAsiaTheme="minorHAnsi" w:hAnsiTheme="majorHAnsi" w:cstheme="minorBidi"/>
          <w:sz w:val="36"/>
          <w:szCs w:val="36"/>
        </w:rPr>
        <w:t>In total, the Senate has</w:t>
      </w:r>
      <w:r w:rsidR="00D10323">
        <w:rPr>
          <w:rFonts w:asciiTheme="majorHAnsi" w:eastAsiaTheme="minorHAnsi" w:hAnsiTheme="majorHAnsi" w:cstheme="minorBidi"/>
          <w:sz w:val="36"/>
          <w:szCs w:val="36"/>
        </w:rPr>
        <w:t xml:space="preserve"> </w:t>
      </w:r>
      <w:r w:rsidR="009B7E69">
        <w:rPr>
          <w:rFonts w:asciiTheme="majorHAnsi" w:eastAsiaTheme="minorHAnsi" w:hAnsiTheme="majorHAnsi" w:cstheme="minorBidi"/>
          <w:sz w:val="36"/>
          <w:szCs w:val="36"/>
        </w:rPr>
        <w:t xml:space="preserve">confirmed </w:t>
      </w:r>
      <w:r w:rsidR="00CE36B7">
        <w:rPr>
          <w:rFonts w:asciiTheme="majorHAnsi" w:eastAsiaTheme="minorHAnsi" w:hAnsiTheme="majorHAnsi" w:cstheme="minorBidi"/>
          <w:sz w:val="36"/>
          <w:szCs w:val="36"/>
        </w:rPr>
        <w:t>15</w:t>
      </w:r>
      <w:r w:rsidR="00D10323">
        <w:rPr>
          <w:rFonts w:asciiTheme="majorHAnsi" w:eastAsiaTheme="minorHAnsi" w:hAnsiTheme="majorHAnsi" w:cstheme="minorBidi"/>
          <w:sz w:val="36"/>
          <w:szCs w:val="36"/>
        </w:rPr>
        <w:t>6</w:t>
      </w:r>
      <w:r w:rsidR="00CE36B7">
        <w:rPr>
          <w:rFonts w:asciiTheme="majorHAnsi" w:eastAsiaTheme="minorHAnsi" w:hAnsiTheme="majorHAnsi" w:cstheme="minorBidi"/>
          <w:sz w:val="36"/>
          <w:szCs w:val="36"/>
        </w:rPr>
        <w:t xml:space="preserve"> District</w:t>
      </w:r>
      <w:r w:rsidR="009B7E69">
        <w:rPr>
          <w:rFonts w:asciiTheme="majorHAnsi" w:eastAsiaTheme="minorHAnsi" w:hAnsiTheme="majorHAnsi" w:cstheme="minorBidi"/>
          <w:sz w:val="36"/>
          <w:szCs w:val="36"/>
        </w:rPr>
        <w:t xml:space="preserve"> or Circuit nominee</w:t>
      </w:r>
      <w:r w:rsidR="00D10323">
        <w:rPr>
          <w:rFonts w:asciiTheme="majorHAnsi" w:eastAsiaTheme="minorHAnsi" w:hAnsiTheme="majorHAnsi" w:cstheme="minorBidi"/>
          <w:sz w:val="36"/>
          <w:szCs w:val="36"/>
        </w:rPr>
        <w:t xml:space="preserve">s.  </w:t>
      </w:r>
      <w:r>
        <w:rPr>
          <w:rFonts w:asciiTheme="majorHAnsi" w:eastAsiaTheme="minorHAnsi" w:hAnsiTheme="majorHAnsi" w:cstheme="minorBidi"/>
          <w:sz w:val="36"/>
          <w:szCs w:val="36"/>
        </w:rPr>
        <w:t xml:space="preserve">So I think the Committee has made good and steady progress in confirming judicial nominees.  </w:t>
      </w:r>
      <w:r w:rsidR="00D10323">
        <w:rPr>
          <w:rFonts w:asciiTheme="majorHAnsi" w:eastAsiaTheme="minorHAnsi" w:hAnsiTheme="majorHAnsi" w:cstheme="minorBidi"/>
          <w:sz w:val="36"/>
          <w:szCs w:val="36"/>
        </w:rPr>
        <w:t xml:space="preserve">This year alone, we have confirmed 34 lower court judges, which is </w:t>
      </w:r>
      <w:r w:rsidR="00D10323">
        <w:rPr>
          <w:rFonts w:asciiTheme="majorHAnsi" w:eastAsiaTheme="minorHAnsi" w:hAnsiTheme="majorHAnsi" w:cstheme="minorBidi"/>
          <w:sz w:val="36"/>
          <w:szCs w:val="36"/>
        </w:rPr>
        <w:lastRenderedPageBreak/>
        <w:t>significantly higher than were confirmed in the last Presidential election year.</w:t>
      </w:r>
      <w:r w:rsidR="009567B1">
        <w:rPr>
          <w:rFonts w:asciiTheme="majorHAnsi" w:eastAsiaTheme="minorHAnsi" w:hAnsiTheme="majorHAnsi" w:cstheme="minorBidi"/>
          <w:sz w:val="36"/>
          <w:szCs w:val="36"/>
        </w:rPr>
        <w:t xml:space="preserve"> </w:t>
      </w:r>
      <w:r>
        <w:rPr>
          <w:rFonts w:asciiTheme="majorHAnsi" w:eastAsiaTheme="minorHAnsi" w:hAnsiTheme="majorHAnsi" w:cstheme="minorBidi"/>
          <w:sz w:val="36"/>
          <w:szCs w:val="36"/>
        </w:rPr>
        <w:t xml:space="preserve">    </w:t>
      </w:r>
    </w:p>
    <w:p w:rsidR="00A132A0" w:rsidRDefault="008A15AE" w:rsidP="009567B1">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 xml:space="preserve">Again, </w:t>
      </w:r>
      <w:r w:rsidR="002B768F">
        <w:rPr>
          <w:rFonts w:asciiTheme="majorHAnsi" w:eastAsiaTheme="minorHAnsi" w:hAnsiTheme="majorHAnsi" w:cstheme="minorBidi"/>
          <w:sz w:val="36"/>
          <w:szCs w:val="36"/>
        </w:rPr>
        <w:t xml:space="preserve">I </w:t>
      </w:r>
      <w:r w:rsidR="009567B1">
        <w:rPr>
          <w:rFonts w:asciiTheme="majorHAnsi" w:eastAsiaTheme="minorHAnsi" w:hAnsiTheme="majorHAnsi" w:cstheme="minorBidi"/>
          <w:sz w:val="36"/>
          <w:szCs w:val="36"/>
        </w:rPr>
        <w:t>welcome the nominees</w:t>
      </w:r>
      <w:r w:rsidR="00E23792">
        <w:rPr>
          <w:rFonts w:asciiTheme="majorHAnsi" w:eastAsiaTheme="minorHAnsi" w:hAnsiTheme="majorHAnsi" w:cstheme="minorBidi"/>
          <w:sz w:val="36"/>
          <w:szCs w:val="36"/>
        </w:rPr>
        <w:t xml:space="preserve"> </w:t>
      </w:r>
      <w:r w:rsidR="009567B1">
        <w:rPr>
          <w:rFonts w:asciiTheme="majorHAnsi" w:eastAsiaTheme="minorHAnsi" w:hAnsiTheme="majorHAnsi" w:cstheme="minorBidi"/>
          <w:sz w:val="36"/>
          <w:szCs w:val="36"/>
        </w:rPr>
        <w:t>and I look forward to this hearing.</w:t>
      </w:r>
      <w:r w:rsidR="003B4A15">
        <w:rPr>
          <w:rFonts w:asciiTheme="majorHAnsi" w:eastAsiaTheme="minorHAnsi" w:hAnsiTheme="majorHAnsi" w:cstheme="minorBidi"/>
          <w:sz w:val="36"/>
          <w:szCs w:val="36"/>
        </w:rPr>
        <w:t xml:space="preserve">  I will place the balance of my statement in the record regarding the biographical information on each nominee.</w:t>
      </w:r>
    </w:p>
    <w:p w:rsidR="0076027D" w:rsidRDefault="0076027D" w:rsidP="009567B1">
      <w:pPr>
        <w:spacing w:line="360" w:lineRule="auto"/>
        <w:ind w:firstLine="720"/>
        <w:rPr>
          <w:rFonts w:asciiTheme="majorHAnsi" w:eastAsiaTheme="minorHAnsi" w:hAnsiTheme="majorHAnsi" w:cstheme="minorBidi"/>
          <w:sz w:val="36"/>
          <w:szCs w:val="36"/>
        </w:rPr>
      </w:pPr>
    </w:p>
    <w:p w:rsidR="00EF285E" w:rsidRP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Ms. </w:t>
      </w:r>
      <w:proofErr w:type="spellStart"/>
      <w:r w:rsidRPr="00EF285E">
        <w:rPr>
          <w:rFonts w:asciiTheme="majorHAnsi" w:eastAsiaTheme="minorHAnsi" w:hAnsiTheme="majorHAnsi" w:cstheme="minorBidi"/>
          <w:sz w:val="36"/>
          <w:szCs w:val="36"/>
        </w:rPr>
        <w:t>Failla</w:t>
      </w:r>
      <w:proofErr w:type="spellEnd"/>
      <w:r w:rsidRPr="00EF285E">
        <w:rPr>
          <w:rFonts w:asciiTheme="majorHAnsi" w:eastAsiaTheme="minorHAnsi" w:hAnsiTheme="majorHAnsi" w:cstheme="minorBidi"/>
          <w:sz w:val="36"/>
          <w:szCs w:val="36"/>
        </w:rPr>
        <w:t xml:space="preserve"> received her J.D. from Harvard Law School in 1993. Upon graduation, Ms. </w:t>
      </w:r>
      <w:proofErr w:type="spellStart"/>
      <w:r w:rsidRPr="00EF285E">
        <w:rPr>
          <w:rFonts w:asciiTheme="majorHAnsi" w:eastAsiaTheme="minorHAnsi" w:hAnsiTheme="majorHAnsi" w:cstheme="minorBidi"/>
          <w:sz w:val="36"/>
          <w:szCs w:val="36"/>
        </w:rPr>
        <w:t>Failla</w:t>
      </w:r>
      <w:proofErr w:type="spellEnd"/>
      <w:r w:rsidRPr="00EF285E">
        <w:rPr>
          <w:rFonts w:asciiTheme="majorHAnsi" w:eastAsiaTheme="minorHAnsi" w:hAnsiTheme="majorHAnsi" w:cstheme="minorBidi"/>
          <w:sz w:val="36"/>
          <w:szCs w:val="36"/>
        </w:rPr>
        <w:t xml:space="preserve"> clerked for Joseph E. </w:t>
      </w:r>
      <w:proofErr w:type="spellStart"/>
      <w:r w:rsidRPr="00EF285E">
        <w:rPr>
          <w:rFonts w:asciiTheme="majorHAnsi" w:eastAsiaTheme="minorHAnsi" w:hAnsiTheme="majorHAnsi" w:cstheme="minorBidi"/>
          <w:sz w:val="36"/>
          <w:szCs w:val="36"/>
        </w:rPr>
        <w:t>Irenas</w:t>
      </w:r>
      <w:proofErr w:type="spellEnd"/>
      <w:r w:rsidRPr="00EF285E">
        <w:rPr>
          <w:rFonts w:asciiTheme="majorHAnsi" w:eastAsiaTheme="minorHAnsi" w:hAnsiTheme="majorHAnsi" w:cstheme="minorBidi"/>
          <w:sz w:val="36"/>
          <w:szCs w:val="36"/>
        </w:rPr>
        <w:t xml:space="preserve">, a United States District Court judge for the District of New Jersey, from 1993 – 1994. In 1994, Ms. </w:t>
      </w:r>
      <w:proofErr w:type="spellStart"/>
      <w:r w:rsidRPr="00EF285E">
        <w:rPr>
          <w:rFonts w:asciiTheme="majorHAnsi" w:eastAsiaTheme="minorHAnsi" w:hAnsiTheme="majorHAnsi" w:cstheme="minorBidi"/>
          <w:sz w:val="36"/>
          <w:szCs w:val="36"/>
        </w:rPr>
        <w:t>Failla</w:t>
      </w:r>
      <w:proofErr w:type="spellEnd"/>
      <w:r w:rsidRPr="00EF285E">
        <w:rPr>
          <w:rFonts w:asciiTheme="majorHAnsi" w:eastAsiaTheme="minorHAnsi" w:hAnsiTheme="majorHAnsi" w:cstheme="minorBidi"/>
          <w:sz w:val="36"/>
          <w:szCs w:val="36"/>
        </w:rPr>
        <w:t xml:space="preserve"> joined the firm of Morgan, Lewis &amp; </w:t>
      </w:r>
      <w:proofErr w:type="spellStart"/>
      <w:r w:rsidRPr="00EF285E">
        <w:rPr>
          <w:rFonts w:asciiTheme="majorHAnsi" w:eastAsiaTheme="minorHAnsi" w:hAnsiTheme="majorHAnsi" w:cstheme="minorBidi"/>
          <w:sz w:val="36"/>
          <w:szCs w:val="36"/>
        </w:rPr>
        <w:t>Bockius</w:t>
      </w:r>
      <w:proofErr w:type="spellEnd"/>
      <w:r w:rsidRPr="00EF285E">
        <w:rPr>
          <w:rFonts w:asciiTheme="majorHAnsi" w:eastAsiaTheme="minorHAnsi" w:hAnsiTheme="majorHAnsi" w:cstheme="minorBidi"/>
          <w:sz w:val="36"/>
          <w:szCs w:val="36"/>
        </w:rPr>
        <w:t xml:space="preserve">, where she worked as an associate attorney until 2000. </w:t>
      </w:r>
      <w:r w:rsidR="0076027D">
        <w:rPr>
          <w:rFonts w:asciiTheme="majorHAnsi" w:eastAsiaTheme="minorHAnsi" w:hAnsiTheme="majorHAnsi" w:cstheme="minorBidi"/>
          <w:sz w:val="36"/>
          <w:szCs w:val="36"/>
        </w:rPr>
        <w:t xml:space="preserve">There, she handled </w:t>
      </w:r>
      <w:r w:rsidRPr="00EF285E">
        <w:rPr>
          <w:rFonts w:asciiTheme="majorHAnsi" w:eastAsiaTheme="minorHAnsi" w:hAnsiTheme="majorHAnsi" w:cstheme="minorBidi"/>
          <w:sz w:val="36"/>
          <w:szCs w:val="36"/>
        </w:rPr>
        <w:t>issues involving bankruptcy, contracts, intellectual property, attorney-client privilege in the corporate context, and the work product doctrine.</w:t>
      </w:r>
      <w:r w:rsidRPr="00EF285E">
        <w:rPr>
          <w:rFonts w:asciiTheme="majorHAnsi" w:eastAsiaTheme="minorHAnsi" w:hAnsiTheme="majorHAnsi" w:cstheme="minorBidi"/>
          <w:sz w:val="36"/>
          <w:szCs w:val="36"/>
        </w:rPr>
        <w:tab/>
      </w:r>
    </w:p>
    <w:p w:rsidR="008A15A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Since 2000, Ms. </w:t>
      </w:r>
      <w:proofErr w:type="spellStart"/>
      <w:r w:rsidRPr="00EF285E">
        <w:rPr>
          <w:rFonts w:asciiTheme="majorHAnsi" w:eastAsiaTheme="minorHAnsi" w:hAnsiTheme="majorHAnsi" w:cstheme="minorBidi"/>
          <w:sz w:val="36"/>
          <w:szCs w:val="36"/>
        </w:rPr>
        <w:t>Failla</w:t>
      </w:r>
      <w:proofErr w:type="spellEnd"/>
      <w:r w:rsidRPr="00EF285E">
        <w:rPr>
          <w:rFonts w:asciiTheme="majorHAnsi" w:eastAsiaTheme="minorHAnsi" w:hAnsiTheme="majorHAnsi" w:cstheme="minorBidi"/>
          <w:sz w:val="36"/>
          <w:szCs w:val="36"/>
        </w:rPr>
        <w:t xml:space="preserve"> has worked for the United States Attorney’s Office for the Southern District of New York. As an Assistant United States</w:t>
      </w:r>
      <w:r w:rsidR="00B570B3">
        <w:rPr>
          <w:rFonts w:asciiTheme="majorHAnsi" w:eastAsiaTheme="minorHAnsi" w:hAnsiTheme="majorHAnsi" w:cstheme="minorBidi"/>
          <w:sz w:val="36"/>
          <w:szCs w:val="36"/>
        </w:rPr>
        <w:t xml:space="preserve"> Attorney, Ms. </w:t>
      </w:r>
      <w:proofErr w:type="spellStart"/>
      <w:r w:rsidR="00B570B3">
        <w:rPr>
          <w:rFonts w:asciiTheme="majorHAnsi" w:eastAsiaTheme="minorHAnsi" w:hAnsiTheme="majorHAnsi" w:cstheme="minorBidi"/>
          <w:sz w:val="36"/>
          <w:szCs w:val="36"/>
        </w:rPr>
        <w:t>Failla</w:t>
      </w:r>
      <w:proofErr w:type="spellEnd"/>
      <w:r w:rsidR="00B570B3">
        <w:rPr>
          <w:rFonts w:asciiTheme="majorHAnsi" w:eastAsiaTheme="minorHAnsi" w:hAnsiTheme="majorHAnsi" w:cstheme="minorBidi"/>
          <w:sz w:val="36"/>
          <w:szCs w:val="36"/>
        </w:rPr>
        <w:t xml:space="preserve"> </w:t>
      </w:r>
      <w:r w:rsidR="009A25A5">
        <w:rPr>
          <w:rFonts w:asciiTheme="majorHAnsi" w:eastAsiaTheme="minorHAnsi" w:hAnsiTheme="majorHAnsi" w:cstheme="minorBidi"/>
          <w:sz w:val="36"/>
          <w:szCs w:val="36"/>
        </w:rPr>
        <w:t>prosecuted</w:t>
      </w:r>
      <w:bookmarkStart w:id="0" w:name="_GoBack"/>
      <w:bookmarkEnd w:id="0"/>
      <w:r w:rsidRPr="00EF285E">
        <w:rPr>
          <w:rFonts w:asciiTheme="majorHAnsi" w:eastAsiaTheme="minorHAnsi" w:hAnsiTheme="majorHAnsi" w:cstheme="minorBidi"/>
          <w:sz w:val="36"/>
          <w:szCs w:val="36"/>
        </w:rPr>
        <w:t xml:space="preserve"> a variety of offenses, including firearms trafficking, narcotics </w:t>
      </w:r>
      <w:r w:rsidRPr="00EF285E">
        <w:rPr>
          <w:rFonts w:asciiTheme="majorHAnsi" w:eastAsiaTheme="minorHAnsi" w:hAnsiTheme="majorHAnsi" w:cstheme="minorBidi"/>
          <w:sz w:val="36"/>
          <w:szCs w:val="36"/>
        </w:rPr>
        <w:lastRenderedPageBreak/>
        <w:t xml:space="preserve">trafficking, art fraud, child pornography, immigration offenses, money laundering, private placement fraud, foreign exchange fraud, and market manipulation. Ms. </w:t>
      </w:r>
      <w:proofErr w:type="spellStart"/>
      <w:r w:rsidRPr="00EF285E">
        <w:rPr>
          <w:rFonts w:asciiTheme="majorHAnsi" w:eastAsiaTheme="minorHAnsi" w:hAnsiTheme="majorHAnsi" w:cstheme="minorBidi"/>
          <w:sz w:val="36"/>
          <w:szCs w:val="36"/>
        </w:rPr>
        <w:t>Failla</w:t>
      </w:r>
      <w:proofErr w:type="spellEnd"/>
      <w:r w:rsidRPr="00EF285E">
        <w:rPr>
          <w:rFonts w:asciiTheme="majorHAnsi" w:eastAsiaTheme="minorHAnsi" w:hAnsiTheme="majorHAnsi" w:cstheme="minorBidi"/>
          <w:sz w:val="36"/>
          <w:szCs w:val="36"/>
        </w:rPr>
        <w:t xml:space="preserve"> was promoted in 2008 to Chief of the Criminal Appeals Unit, a position she currently</w:t>
      </w:r>
      <w:r w:rsidR="00B570B3" w:rsidRPr="00B570B3">
        <w:rPr>
          <w:rFonts w:asciiTheme="majorHAnsi" w:eastAsiaTheme="minorHAnsi" w:hAnsiTheme="majorHAnsi" w:cstheme="minorBidi"/>
          <w:sz w:val="36"/>
          <w:szCs w:val="36"/>
        </w:rPr>
        <w:t xml:space="preserve"> </w:t>
      </w:r>
      <w:r w:rsidR="00B570B3" w:rsidRPr="00EF285E">
        <w:rPr>
          <w:rFonts w:asciiTheme="majorHAnsi" w:eastAsiaTheme="minorHAnsi" w:hAnsiTheme="majorHAnsi" w:cstheme="minorBidi"/>
          <w:sz w:val="36"/>
          <w:szCs w:val="36"/>
        </w:rPr>
        <w:t>holds</w:t>
      </w:r>
      <w:r w:rsidRPr="00EF285E">
        <w:rPr>
          <w:rFonts w:asciiTheme="majorHAnsi" w:eastAsiaTheme="minorHAnsi" w:hAnsiTheme="majorHAnsi" w:cstheme="minorBidi"/>
          <w:sz w:val="36"/>
          <w:szCs w:val="36"/>
        </w:rPr>
        <w:t xml:space="preserve">. In this capacity, Ms. </w:t>
      </w:r>
      <w:proofErr w:type="spellStart"/>
      <w:r w:rsidRPr="00EF285E">
        <w:rPr>
          <w:rFonts w:asciiTheme="majorHAnsi" w:eastAsiaTheme="minorHAnsi" w:hAnsiTheme="majorHAnsi" w:cstheme="minorBidi"/>
          <w:sz w:val="36"/>
          <w:szCs w:val="36"/>
        </w:rPr>
        <w:t>Failla</w:t>
      </w:r>
      <w:proofErr w:type="spellEnd"/>
      <w:r w:rsidRPr="00EF285E">
        <w:rPr>
          <w:rFonts w:asciiTheme="majorHAnsi" w:eastAsiaTheme="minorHAnsi" w:hAnsiTheme="majorHAnsi" w:cstheme="minorBidi"/>
          <w:sz w:val="36"/>
          <w:szCs w:val="36"/>
        </w:rPr>
        <w:t xml:space="preserve"> consults with other prosecutors to identify and resolve issues prior to appeal. These issues include the appropriate manner of conducting investigations, the decision to bring criminal charges, the Government’s response to substantive defense motions, and legal and evidentiary issues that may arise during the course of a prosecution. </w:t>
      </w:r>
    </w:p>
    <w:p w:rsidR="00EF285E" w:rsidRP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 Ms. Chen received her B.A. from the University of Michigan in 1983 and her J.D. from Georgetown University Law Center in 1986. Upon graduation, Ms. Chen joined Arnold &amp; Porter as an associate who specialized in civil litigation. In 1989, she joined the law form of </w:t>
      </w:r>
      <w:proofErr w:type="spellStart"/>
      <w:r w:rsidRPr="00EF285E">
        <w:rPr>
          <w:rFonts w:asciiTheme="majorHAnsi" w:eastAsiaTheme="minorHAnsi" w:hAnsiTheme="majorHAnsi" w:cstheme="minorBidi"/>
          <w:sz w:val="36"/>
          <w:szCs w:val="36"/>
        </w:rPr>
        <w:t>Asbill</w:t>
      </w:r>
      <w:proofErr w:type="spellEnd"/>
      <w:r w:rsidRPr="00EF285E">
        <w:rPr>
          <w:rFonts w:asciiTheme="majorHAnsi" w:eastAsiaTheme="minorHAnsi" w:hAnsiTheme="majorHAnsi" w:cstheme="minorBidi"/>
          <w:sz w:val="36"/>
          <w:szCs w:val="36"/>
        </w:rPr>
        <w:t xml:space="preserve">, </w:t>
      </w:r>
      <w:proofErr w:type="spellStart"/>
      <w:r w:rsidRPr="00EF285E">
        <w:rPr>
          <w:rFonts w:asciiTheme="majorHAnsi" w:eastAsiaTheme="minorHAnsi" w:hAnsiTheme="majorHAnsi" w:cstheme="minorBidi"/>
          <w:sz w:val="36"/>
          <w:szCs w:val="36"/>
        </w:rPr>
        <w:t>Junkin</w:t>
      </w:r>
      <w:proofErr w:type="spellEnd"/>
      <w:r w:rsidRPr="00EF285E">
        <w:rPr>
          <w:rFonts w:asciiTheme="majorHAnsi" w:eastAsiaTheme="minorHAnsi" w:hAnsiTheme="majorHAnsi" w:cstheme="minorBidi"/>
          <w:sz w:val="36"/>
          <w:szCs w:val="36"/>
        </w:rPr>
        <w:t xml:space="preserve">, </w:t>
      </w:r>
      <w:proofErr w:type="gramStart"/>
      <w:r w:rsidRPr="00EF285E">
        <w:rPr>
          <w:rFonts w:asciiTheme="majorHAnsi" w:eastAsiaTheme="minorHAnsi" w:hAnsiTheme="majorHAnsi" w:cstheme="minorBidi"/>
          <w:sz w:val="36"/>
          <w:szCs w:val="36"/>
        </w:rPr>
        <w:t>Myers</w:t>
      </w:r>
      <w:proofErr w:type="gramEnd"/>
      <w:r w:rsidRPr="00EF285E">
        <w:rPr>
          <w:rFonts w:asciiTheme="majorHAnsi" w:eastAsiaTheme="minorHAnsi" w:hAnsiTheme="majorHAnsi" w:cstheme="minorBidi"/>
          <w:sz w:val="36"/>
          <w:szCs w:val="36"/>
        </w:rPr>
        <w:t xml:space="preserve"> &amp; </w:t>
      </w:r>
      <w:proofErr w:type="spellStart"/>
      <w:r w:rsidRPr="00EF285E">
        <w:rPr>
          <w:rFonts w:asciiTheme="majorHAnsi" w:eastAsiaTheme="minorHAnsi" w:hAnsiTheme="majorHAnsi" w:cstheme="minorBidi"/>
          <w:sz w:val="36"/>
          <w:szCs w:val="36"/>
        </w:rPr>
        <w:t>Buffone</w:t>
      </w:r>
      <w:proofErr w:type="spellEnd"/>
      <w:r w:rsidRPr="00EF285E">
        <w:rPr>
          <w:rFonts w:asciiTheme="majorHAnsi" w:eastAsiaTheme="minorHAnsi" w:hAnsiTheme="majorHAnsi" w:cstheme="minorBidi"/>
          <w:sz w:val="36"/>
          <w:szCs w:val="36"/>
        </w:rPr>
        <w:t xml:space="preserve"> and worked primarily in criminal defense matters, although she also handled some civil cases involving tort litigation, trusts and estates, and RICO litigation. In 1991, she joined the Special Litigation Section of </w:t>
      </w:r>
      <w:r w:rsidRPr="00EF285E">
        <w:rPr>
          <w:rFonts w:asciiTheme="majorHAnsi" w:eastAsiaTheme="minorHAnsi" w:hAnsiTheme="majorHAnsi" w:cstheme="minorBidi"/>
          <w:sz w:val="36"/>
          <w:szCs w:val="36"/>
        </w:rPr>
        <w:lastRenderedPageBreak/>
        <w:t xml:space="preserve">the Civil Rights Division at the United States Department of Justice. There, she investigated and litigated cases under the Civil Rights of Institutionalized Persons Act.  </w:t>
      </w:r>
    </w:p>
    <w:p w:rsid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In 1998, Ms. Chen became an Assistant United States Attorney in the Criminal Division in the Eastern District of New York. There, she became a member of the Violent Criminal Enterprises Section where she prosecuted gang cases drug trafficking, gun crimes, and violence. In 2003, she was promoted to Chief of the Office’s Civil Rights Litigation Unit. There, she supervised and worked on cases involving education, housing, disability, employment and voting rights. She also handled criminal cases involving hate crimes, color of law, and human trafficking cases. She currently acts as Chief in the criminal Civil Rights Section.</w:t>
      </w:r>
    </w:p>
    <w:p w:rsidR="00EF285E" w:rsidRP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Upon graduating from </w:t>
      </w:r>
      <w:r w:rsidR="00AB4F7D">
        <w:rPr>
          <w:rFonts w:asciiTheme="majorHAnsi" w:eastAsiaTheme="minorHAnsi" w:hAnsiTheme="majorHAnsi" w:cstheme="minorBidi"/>
          <w:sz w:val="36"/>
          <w:szCs w:val="36"/>
        </w:rPr>
        <w:t xml:space="preserve">the University </w:t>
      </w:r>
      <w:proofErr w:type="gramStart"/>
      <w:r w:rsidR="00AB4F7D">
        <w:rPr>
          <w:rFonts w:asciiTheme="majorHAnsi" w:eastAsiaTheme="minorHAnsi" w:hAnsiTheme="majorHAnsi" w:cstheme="minorBidi"/>
          <w:sz w:val="36"/>
          <w:szCs w:val="36"/>
        </w:rPr>
        <w:t>of California Hastings College of</w:t>
      </w:r>
      <w:proofErr w:type="gramEnd"/>
      <w:r w:rsidR="00AB4F7D">
        <w:rPr>
          <w:rFonts w:asciiTheme="majorHAnsi" w:eastAsiaTheme="minorHAnsi" w:hAnsiTheme="majorHAnsi" w:cstheme="minorBidi"/>
          <w:sz w:val="36"/>
          <w:szCs w:val="36"/>
        </w:rPr>
        <w:t xml:space="preserve"> Law</w:t>
      </w:r>
      <w:r w:rsidRPr="00EF285E">
        <w:rPr>
          <w:rFonts w:asciiTheme="majorHAnsi" w:eastAsiaTheme="minorHAnsi" w:hAnsiTheme="majorHAnsi" w:cstheme="minorBidi"/>
          <w:sz w:val="36"/>
          <w:szCs w:val="36"/>
        </w:rPr>
        <w:t xml:space="preserve"> in 1990, Judge </w:t>
      </w:r>
      <w:proofErr w:type="spellStart"/>
      <w:r w:rsidRPr="00EF285E">
        <w:rPr>
          <w:rFonts w:asciiTheme="majorHAnsi" w:eastAsiaTheme="minorHAnsi" w:hAnsiTheme="majorHAnsi" w:cstheme="minorBidi"/>
          <w:sz w:val="36"/>
          <w:szCs w:val="36"/>
        </w:rPr>
        <w:t>Nunley</w:t>
      </w:r>
      <w:proofErr w:type="spellEnd"/>
      <w:r w:rsidRPr="00EF285E">
        <w:rPr>
          <w:rFonts w:asciiTheme="majorHAnsi" w:eastAsiaTheme="minorHAnsi" w:hAnsiTheme="majorHAnsi" w:cstheme="minorBidi"/>
          <w:sz w:val="36"/>
          <w:szCs w:val="36"/>
        </w:rPr>
        <w:t xml:space="preserve"> served as a law clerk for the Alameda County District Attorney’s office </w:t>
      </w:r>
      <w:r w:rsidR="00B570B3">
        <w:rPr>
          <w:rFonts w:asciiTheme="majorHAnsi" w:eastAsiaTheme="minorHAnsi" w:hAnsiTheme="majorHAnsi" w:cstheme="minorBidi"/>
          <w:sz w:val="36"/>
          <w:szCs w:val="36"/>
        </w:rPr>
        <w:t>and was hired</w:t>
      </w:r>
      <w:r w:rsidRPr="00EF285E">
        <w:rPr>
          <w:rFonts w:asciiTheme="majorHAnsi" w:eastAsiaTheme="minorHAnsi" w:hAnsiTheme="majorHAnsi" w:cstheme="minorBidi"/>
          <w:sz w:val="36"/>
          <w:szCs w:val="36"/>
        </w:rPr>
        <w:t xml:space="preserve"> as a Deputy District Attorney in 1991.  As a prosecutor, he handled routine superior court matters such </w:t>
      </w:r>
      <w:r w:rsidRPr="00EF285E">
        <w:rPr>
          <w:rFonts w:asciiTheme="majorHAnsi" w:eastAsiaTheme="minorHAnsi" w:hAnsiTheme="majorHAnsi" w:cstheme="minorBidi"/>
          <w:sz w:val="36"/>
          <w:szCs w:val="36"/>
        </w:rPr>
        <w:lastRenderedPageBreak/>
        <w:t xml:space="preserve">as arraignments, bail hearing, preliminary examinations, settlement conferences and probation revocation hearings.     </w:t>
      </w:r>
    </w:p>
    <w:p w:rsidR="00EF285E" w:rsidRP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From 1994 to 1996, Judge </w:t>
      </w:r>
      <w:proofErr w:type="spellStart"/>
      <w:r w:rsidRPr="00EF285E">
        <w:rPr>
          <w:rFonts w:asciiTheme="majorHAnsi" w:eastAsiaTheme="minorHAnsi" w:hAnsiTheme="majorHAnsi" w:cstheme="minorBidi"/>
          <w:sz w:val="36"/>
          <w:szCs w:val="36"/>
        </w:rPr>
        <w:t>Nunley</w:t>
      </w:r>
      <w:proofErr w:type="spellEnd"/>
      <w:r w:rsidRPr="00EF285E">
        <w:rPr>
          <w:rFonts w:asciiTheme="majorHAnsi" w:eastAsiaTheme="minorHAnsi" w:hAnsiTheme="majorHAnsi" w:cstheme="minorBidi"/>
          <w:sz w:val="36"/>
          <w:szCs w:val="36"/>
        </w:rPr>
        <w:t xml:space="preserve"> opened his own law practice, the Law Office of Troy L. </w:t>
      </w:r>
      <w:proofErr w:type="spellStart"/>
      <w:r w:rsidRPr="00EF285E">
        <w:rPr>
          <w:rFonts w:asciiTheme="majorHAnsi" w:eastAsiaTheme="minorHAnsi" w:hAnsiTheme="majorHAnsi" w:cstheme="minorBidi"/>
          <w:sz w:val="36"/>
          <w:szCs w:val="36"/>
        </w:rPr>
        <w:t>Nunley</w:t>
      </w:r>
      <w:proofErr w:type="spellEnd"/>
      <w:r w:rsidRPr="00EF285E">
        <w:rPr>
          <w:rFonts w:asciiTheme="majorHAnsi" w:eastAsiaTheme="minorHAnsi" w:hAnsiTheme="majorHAnsi" w:cstheme="minorBidi"/>
          <w:sz w:val="36"/>
          <w:szCs w:val="36"/>
        </w:rPr>
        <w:t xml:space="preserve">.  He worked as a general practitioner primarily representing criminal defendants, though he also handled workers’ compensation, personal injury, federal civil rights and juvenile delinquency matters.   In 1996, he joined the Sacramento County District Attorney’s Office as a Deputy District Attorney.   In this position, he mainly handled felony jury trials in superior court.  He was also assigned to the Domestic Violence Unit where he specialized in prosecuting stalking cases.  Later, he was assigned to the Major Crimes Unit gangs section prosecuting gang members. </w:t>
      </w:r>
    </w:p>
    <w:p w:rsidR="00EF285E" w:rsidRP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In 1999, he joined the California Attorney General’s Office as a Deputy Attorney General where he served until being appointed a Superior Court Judge in 2002.  In the Attorney General’s Office, he was assigned to the Appeals, Writs and Trials section, where his practice involved </w:t>
      </w:r>
      <w:r w:rsidRPr="00EF285E">
        <w:rPr>
          <w:rFonts w:asciiTheme="majorHAnsi" w:eastAsiaTheme="minorHAnsi" w:hAnsiTheme="majorHAnsi" w:cstheme="minorBidi"/>
          <w:sz w:val="36"/>
          <w:szCs w:val="36"/>
        </w:rPr>
        <w:lastRenderedPageBreak/>
        <w:t xml:space="preserve">preparing responses to appeals filed by felony criminal defendants with the state and appellate courts.  </w:t>
      </w:r>
    </w:p>
    <w:p w:rsid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Judge </w:t>
      </w:r>
      <w:proofErr w:type="spellStart"/>
      <w:r w:rsidRPr="00EF285E">
        <w:rPr>
          <w:rFonts w:asciiTheme="majorHAnsi" w:eastAsiaTheme="minorHAnsi" w:hAnsiTheme="majorHAnsi" w:cstheme="minorBidi"/>
          <w:sz w:val="36"/>
          <w:szCs w:val="36"/>
        </w:rPr>
        <w:t>Nunley</w:t>
      </w:r>
      <w:proofErr w:type="spellEnd"/>
      <w:r w:rsidRPr="00EF285E">
        <w:rPr>
          <w:rFonts w:asciiTheme="majorHAnsi" w:eastAsiaTheme="minorHAnsi" w:hAnsiTheme="majorHAnsi" w:cstheme="minorBidi"/>
          <w:sz w:val="36"/>
          <w:szCs w:val="36"/>
        </w:rPr>
        <w:t xml:space="preserve"> </w:t>
      </w:r>
      <w:r w:rsidR="00AB4F7D">
        <w:rPr>
          <w:rFonts w:asciiTheme="majorHAnsi" w:eastAsiaTheme="minorHAnsi" w:hAnsiTheme="majorHAnsi" w:cstheme="minorBidi"/>
          <w:sz w:val="36"/>
          <w:szCs w:val="36"/>
        </w:rPr>
        <w:t>also teaches</w:t>
      </w:r>
      <w:r w:rsidRPr="00EF285E">
        <w:rPr>
          <w:rFonts w:asciiTheme="majorHAnsi" w:eastAsiaTheme="minorHAnsi" w:hAnsiTheme="majorHAnsi" w:cstheme="minorBidi"/>
          <w:sz w:val="36"/>
          <w:szCs w:val="36"/>
        </w:rPr>
        <w:t xml:space="preserve"> as a law professor at Lincoln Law School of Sacramento.  He has taught upper-division Corporations and Business Partnerships since August 2006.</w:t>
      </w:r>
    </w:p>
    <w:p w:rsid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In July of 2002, Governor Grey Davis appointed Judge </w:t>
      </w:r>
      <w:proofErr w:type="spellStart"/>
      <w:r w:rsidRPr="00EF285E">
        <w:rPr>
          <w:rFonts w:asciiTheme="majorHAnsi" w:eastAsiaTheme="minorHAnsi" w:hAnsiTheme="majorHAnsi" w:cstheme="minorBidi"/>
          <w:sz w:val="36"/>
          <w:szCs w:val="36"/>
        </w:rPr>
        <w:t>Nunley</w:t>
      </w:r>
      <w:proofErr w:type="spellEnd"/>
      <w:r w:rsidRPr="00EF285E">
        <w:rPr>
          <w:rFonts w:asciiTheme="majorHAnsi" w:eastAsiaTheme="minorHAnsi" w:hAnsiTheme="majorHAnsi" w:cstheme="minorBidi"/>
          <w:sz w:val="36"/>
          <w:szCs w:val="36"/>
        </w:rPr>
        <w:t xml:space="preserve"> to be a California Superior Court judge for the County of Sacramento.  He was reelected to this position on June 8, 2010.  As court of general jurisdiction, Judge </w:t>
      </w:r>
      <w:proofErr w:type="spellStart"/>
      <w:r w:rsidRPr="00EF285E">
        <w:rPr>
          <w:rFonts w:asciiTheme="majorHAnsi" w:eastAsiaTheme="minorHAnsi" w:hAnsiTheme="majorHAnsi" w:cstheme="minorBidi"/>
          <w:sz w:val="36"/>
          <w:szCs w:val="36"/>
        </w:rPr>
        <w:t>Nunley</w:t>
      </w:r>
      <w:proofErr w:type="spellEnd"/>
      <w:r w:rsidRPr="00EF285E">
        <w:rPr>
          <w:rFonts w:asciiTheme="majorHAnsi" w:eastAsiaTheme="minorHAnsi" w:hAnsiTheme="majorHAnsi" w:cstheme="minorBidi"/>
          <w:sz w:val="36"/>
          <w:szCs w:val="36"/>
        </w:rPr>
        <w:t xml:space="preserve"> presides over both criminal an</w:t>
      </w:r>
      <w:r w:rsidR="00B570B3">
        <w:rPr>
          <w:rFonts w:asciiTheme="majorHAnsi" w:eastAsiaTheme="minorHAnsi" w:hAnsiTheme="majorHAnsi" w:cstheme="minorBidi"/>
          <w:sz w:val="36"/>
          <w:szCs w:val="36"/>
        </w:rPr>
        <w:t>d civil matters</w:t>
      </w:r>
      <w:r w:rsidRPr="00EF285E">
        <w:rPr>
          <w:rFonts w:asciiTheme="majorHAnsi" w:eastAsiaTheme="minorHAnsi" w:hAnsiTheme="majorHAnsi" w:cstheme="minorBidi"/>
          <w:sz w:val="36"/>
          <w:szCs w:val="36"/>
        </w:rPr>
        <w:t xml:space="preserve">.  </w:t>
      </w:r>
    </w:p>
    <w:p w:rsid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Judge Chappell received her B.A. from the University of Wisconsin-Madison in 1984 and her J.D. from Nova Southeastern University Law School in 1987. Upon graduation, Judge Chappell became an Assistant State Attorney in the Fort Myers Misdemeanor Division. In 1988, she began prosecuting felony cases including crimes against children, drugs, property crimes, and crimes against persons. In 1991, she was promoted to Office Head of the Hendry and Glades County Office where she prosecuted cases and supervised the attorneys, secretaries, and </w:t>
      </w:r>
      <w:r w:rsidRPr="00EF285E">
        <w:rPr>
          <w:rFonts w:asciiTheme="majorHAnsi" w:eastAsiaTheme="minorHAnsi" w:hAnsiTheme="majorHAnsi" w:cstheme="minorBidi"/>
          <w:sz w:val="36"/>
          <w:szCs w:val="36"/>
        </w:rPr>
        <w:lastRenderedPageBreak/>
        <w:t xml:space="preserve">investigators. From 1993 until 1998, she acted as the Supervisor of the Fort Myers Circuit Court Trial Division where she served as chair of the hiring committee and created a training course for new assistant state attorneys. From 1998 to 2000, Judge Chappell served as the Office Head of the Charlotte County Office.  </w:t>
      </w:r>
    </w:p>
    <w:p w:rsid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In 2000, Judge Chappell was appointed by then-Governor Jeb Bush as a Lee county Court Judge for the Twentieth Judicial Circuit. In 2002, she was elected to serve a six-year term for this position. There, she had jurisdiction over misdemeanor cases and civil disputes involving $15,000 or less. She resigned in 2003 due to her selection as a United States Magistrate Judge for the Middle District of Florida</w:t>
      </w:r>
      <w:r w:rsidR="00B570B3">
        <w:rPr>
          <w:rFonts w:asciiTheme="majorHAnsi" w:eastAsiaTheme="minorHAnsi" w:hAnsiTheme="majorHAnsi" w:cstheme="minorBidi"/>
          <w:sz w:val="36"/>
          <w:szCs w:val="36"/>
        </w:rPr>
        <w:t>, her current position</w:t>
      </w:r>
      <w:r w:rsidRPr="00EF285E">
        <w:rPr>
          <w:rFonts w:asciiTheme="majorHAnsi" w:eastAsiaTheme="minorHAnsi" w:hAnsiTheme="majorHAnsi" w:cstheme="minorBidi"/>
          <w:sz w:val="36"/>
          <w:szCs w:val="36"/>
        </w:rPr>
        <w:t>. There she handles criminal and civil dockets.</w:t>
      </w:r>
    </w:p>
    <w:p w:rsidR="00EF285E" w:rsidRP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Upon graduating from the University </w:t>
      </w:r>
      <w:proofErr w:type="gramStart"/>
      <w:r w:rsidRPr="00EF285E">
        <w:rPr>
          <w:rFonts w:asciiTheme="majorHAnsi" w:eastAsiaTheme="minorHAnsi" w:hAnsiTheme="majorHAnsi" w:cstheme="minorBidi"/>
          <w:sz w:val="36"/>
          <w:szCs w:val="36"/>
        </w:rPr>
        <w:t>of</w:t>
      </w:r>
      <w:proofErr w:type="gramEnd"/>
      <w:r w:rsidRPr="00EF285E">
        <w:rPr>
          <w:rFonts w:asciiTheme="majorHAnsi" w:eastAsiaTheme="minorHAnsi" w:hAnsiTheme="majorHAnsi" w:cstheme="minorBidi"/>
          <w:sz w:val="36"/>
          <w:szCs w:val="36"/>
        </w:rPr>
        <w:t xml:space="preserve"> Michigan Law School in 1988, Mr. Barnett joined Steptoe &amp; Johnson as an Associate.  He began in the general litigation section conducting legal research and document reviews related to government contracts and false claims issues.  After 18 </w:t>
      </w:r>
      <w:r w:rsidRPr="00EF285E">
        <w:rPr>
          <w:rFonts w:asciiTheme="majorHAnsi" w:eastAsiaTheme="minorHAnsi" w:hAnsiTheme="majorHAnsi" w:cstheme="minorBidi"/>
          <w:sz w:val="36"/>
          <w:szCs w:val="36"/>
        </w:rPr>
        <w:lastRenderedPageBreak/>
        <w:t xml:space="preserve">months, he transitioned into the international group where he focused on unfair trade cases providing advice to foreign companies involved in antidumping and countervailing duty cases before the United States International Trade Commission and the Department of Commerce. </w:t>
      </w:r>
    </w:p>
    <w:p w:rsidR="00EF285E" w:rsidRP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In 1995, he joined the Office of Chief Counsel for Import Administration at the Department of Commerce</w:t>
      </w:r>
      <w:r w:rsidR="00B570B3">
        <w:rPr>
          <w:rFonts w:asciiTheme="majorHAnsi" w:eastAsiaTheme="minorHAnsi" w:hAnsiTheme="majorHAnsi" w:cstheme="minorBidi"/>
          <w:sz w:val="36"/>
          <w:szCs w:val="36"/>
        </w:rPr>
        <w:t xml:space="preserve"> where he provided </w:t>
      </w:r>
      <w:r w:rsidRPr="00EF285E">
        <w:rPr>
          <w:rFonts w:asciiTheme="majorHAnsi" w:eastAsiaTheme="minorHAnsi" w:hAnsiTheme="majorHAnsi" w:cstheme="minorBidi"/>
          <w:sz w:val="36"/>
          <w:szCs w:val="36"/>
        </w:rPr>
        <w:t xml:space="preserve">legal advice to Import Administration officials in antidumping and countervailing duty investigations and legal support in negotiating suspension agreements with parties to these cases.  </w:t>
      </w:r>
    </w:p>
    <w:p w:rsidR="00EF285E" w:rsidRPr="00EF285E" w:rsidRDefault="00EF285E" w:rsidP="00EF285E">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 xml:space="preserve">In 1999, he was elevated to Senior Counsel making him responsible for providing supervisory advice to staff attorneys working with the Import Administration in the conduct of antidumping and countervailing duty cases.  In addition, he participated in defending determinations in settlement dispute proceedings at the World Trade Organization (WTO).  He provided senior level guidance on significant issues in domestic litigation and in litigation before bi-national panels established under North American </w:t>
      </w:r>
      <w:r w:rsidRPr="00EF285E">
        <w:rPr>
          <w:rFonts w:asciiTheme="majorHAnsi" w:eastAsiaTheme="minorHAnsi" w:hAnsiTheme="majorHAnsi" w:cstheme="minorBidi"/>
          <w:sz w:val="36"/>
          <w:szCs w:val="36"/>
        </w:rPr>
        <w:lastRenderedPageBreak/>
        <w:t xml:space="preserve">Free Trade Agreement (NAFTA).  He also participated in the Doha Round of WTO negotiations and provided legal and negotiation advice to senior officials of the International Trade Administration. </w:t>
      </w:r>
    </w:p>
    <w:p w:rsidR="008A15AE" w:rsidRDefault="00EF285E" w:rsidP="009567B1">
      <w:pPr>
        <w:spacing w:line="360" w:lineRule="auto"/>
        <w:ind w:firstLine="720"/>
        <w:rPr>
          <w:rFonts w:asciiTheme="majorHAnsi" w:eastAsiaTheme="minorHAnsi" w:hAnsiTheme="majorHAnsi" w:cstheme="minorBidi"/>
          <w:sz w:val="36"/>
          <w:szCs w:val="36"/>
        </w:rPr>
      </w:pPr>
      <w:r w:rsidRPr="00EF285E">
        <w:rPr>
          <w:rFonts w:asciiTheme="majorHAnsi" w:eastAsiaTheme="minorHAnsi" w:hAnsiTheme="majorHAnsi" w:cstheme="minorBidi"/>
          <w:sz w:val="36"/>
          <w:szCs w:val="36"/>
        </w:rPr>
        <w:t>Since 2005, Mr. Barnett has severed as the Deputy Chief Counsel for Import Administrati</w:t>
      </w:r>
      <w:r w:rsidR="00232760">
        <w:rPr>
          <w:rFonts w:asciiTheme="majorHAnsi" w:eastAsiaTheme="minorHAnsi" w:hAnsiTheme="majorHAnsi" w:cstheme="minorBidi"/>
          <w:sz w:val="36"/>
          <w:szCs w:val="36"/>
        </w:rPr>
        <w:t>on.  In this role, he supervises</w:t>
      </w:r>
      <w:r w:rsidRPr="00EF285E">
        <w:rPr>
          <w:rFonts w:asciiTheme="majorHAnsi" w:eastAsiaTheme="minorHAnsi" w:hAnsiTheme="majorHAnsi" w:cstheme="minorBidi"/>
          <w:sz w:val="36"/>
          <w:szCs w:val="36"/>
        </w:rPr>
        <w:t xml:space="preserve"> all aspects of the legal services provided by the offices approximately 30 attorneys, as well as overseeing the office budge, administration</w:t>
      </w:r>
      <w:r w:rsidR="00232760">
        <w:rPr>
          <w:rFonts w:asciiTheme="majorHAnsi" w:eastAsiaTheme="minorHAnsi" w:hAnsiTheme="majorHAnsi" w:cstheme="minorBidi"/>
          <w:sz w:val="36"/>
          <w:szCs w:val="36"/>
        </w:rPr>
        <w:t>, and hiring.  He also continues</w:t>
      </w:r>
      <w:r w:rsidRPr="00EF285E">
        <w:rPr>
          <w:rFonts w:asciiTheme="majorHAnsi" w:eastAsiaTheme="minorHAnsi" w:hAnsiTheme="majorHAnsi" w:cstheme="minorBidi"/>
          <w:sz w:val="36"/>
          <w:szCs w:val="36"/>
        </w:rPr>
        <w:t xml:space="preserve"> to conduct and supervise litigation before WTO dispute Settlement panels and its Appellate body in coordination with senior officials at the Office of the United States Trade Representative and International Trade Commission.   During 2008-2009, Mr. Barnett was on detail from the Department of Commerce with the Subcommittee on Trade, United States House of Representatives Committee on Ways and Means.</w:t>
      </w:r>
      <w:r w:rsidR="00232760">
        <w:rPr>
          <w:rFonts w:asciiTheme="majorHAnsi" w:eastAsiaTheme="minorHAnsi" w:hAnsiTheme="majorHAnsi" w:cstheme="minorBidi"/>
          <w:sz w:val="36"/>
          <w:szCs w:val="36"/>
        </w:rPr>
        <w:t xml:space="preserve"> </w:t>
      </w:r>
    </w:p>
    <w:sectPr w:rsidR="008A15AE" w:rsidSect="00D26B56">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0B3" w:rsidRDefault="00B570B3" w:rsidP="00D26B56">
      <w:r>
        <w:separator/>
      </w:r>
    </w:p>
  </w:endnote>
  <w:endnote w:type="continuationSeparator" w:id="0">
    <w:p w:rsidR="00B570B3" w:rsidRDefault="00B570B3" w:rsidP="00D2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327505"/>
      <w:docPartObj>
        <w:docPartGallery w:val="Page Numbers (Bottom of Page)"/>
        <w:docPartUnique/>
      </w:docPartObj>
    </w:sdtPr>
    <w:sdtEndPr>
      <w:rPr>
        <w:noProof/>
      </w:rPr>
    </w:sdtEndPr>
    <w:sdtContent>
      <w:p w:rsidR="00B570B3" w:rsidRDefault="00B570B3">
        <w:pPr>
          <w:pStyle w:val="Footer"/>
          <w:jc w:val="center"/>
        </w:pPr>
        <w:r>
          <w:fldChar w:fldCharType="begin"/>
        </w:r>
        <w:r>
          <w:instrText xml:space="preserve"> PAGE   \* MERGEFORMAT </w:instrText>
        </w:r>
        <w:r>
          <w:fldChar w:fldCharType="separate"/>
        </w:r>
        <w:r w:rsidR="009A25A5">
          <w:rPr>
            <w:noProof/>
          </w:rPr>
          <w:t>3</w:t>
        </w:r>
        <w:r>
          <w:rPr>
            <w:noProof/>
          </w:rPr>
          <w:fldChar w:fldCharType="end"/>
        </w:r>
      </w:p>
    </w:sdtContent>
  </w:sdt>
  <w:p w:rsidR="00B570B3" w:rsidRDefault="00B570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0B3" w:rsidRDefault="00B570B3" w:rsidP="00D26B56">
      <w:r>
        <w:separator/>
      </w:r>
    </w:p>
  </w:footnote>
  <w:footnote w:type="continuationSeparator" w:id="0">
    <w:p w:rsidR="00B570B3" w:rsidRDefault="00B570B3" w:rsidP="00D26B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5CE"/>
    <w:rsid w:val="00075432"/>
    <w:rsid w:val="00082820"/>
    <w:rsid w:val="000C2B86"/>
    <w:rsid w:val="000F1E14"/>
    <w:rsid w:val="00232760"/>
    <w:rsid w:val="00243193"/>
    <w:rsid w:val="002B768F"/>
    <w:rsid w:val="003B4A15"/>
    <w:rsid w:val="00403500"/>
    <w:rsid w:val="004256A2"/>
    <w:rsid w:val="00441527"/>
    <w:rsid w:val="004A0F58"/>
    <w:rsid w:val="005175CE"/>
    <w:rsid w:val="00543741"/>
    <w:rsid w:val="005541A4"/>
    <w:rsid w:val="00674562"/>
    <w:rsid w:val="006D5052"/>
    <w:rsid w:val="0076027D"/>
    <w:rsid w:val="00796566"/>
    <w:rsid w:val="007F56E4"/>
    <w:rsid w:val="00861E41"/>
    <w:rsid w:val="008A15AE"/>
    <w:rsid w:val="008A7823"/>
    <w:rsid w:val="009567B1"/>
    <w:rsid w:val="009A25A5"/>
    <w:rsid w:val="009B7E69"/>
    <w:rsid w:val="00A132A0"/>
    <w:rsid w:val="00AA29E1"/>
    <w:rsid w:val="00AB4F7D"/>
    <w:rsid w:val="00AC0D2F"/>
    <w:rsid w:val="00B570B3"/>
    <w:rsid w:val="00BA67F9"/>
    <w:rsid w:val="00CB472B"/>
    <w:rsid w:val="00CC7ABA"/>
    <w:rsid w:val="00CE36B7"/>
    <w:rsid w:val="00D10323"/>
    <w:rsid w:val="00D26B56"/>
    <w:rsid w:val="00D8282B"/>
    <w:rsid w:val="00DD67D4"/>
    <w:rsid w:val="00E23792"/>
    <w:rsid w:val="00EB01DF"/>
    <w:rsid w:val="00EF2440"/>
    <w:rsid w:val="00EF285E"/>
    <w:rsid w:val="00FC03BE"/>
    <w:rsid w:val="00FE0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CE"/>
    <w:pPr>
      <w:spacing w:after="0" w:line="240" w:lineRule="auto"/>
    </w:pPr>
    <w:rPr>
      <w:rFonts w:ascii="Calibri" w:eastAsia="Times New Roman"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808"/>
    <w:rPr>
      <w:rFonts w:ascii="Tahoma" w:hAnsi="Tahoma" w:cs="Tahoma"/>
      <w:sz w:val="16"/>
      <w:szCs w:val="16"/>
    </w:rPr>
  </w:style>
  <w:style w:type="character" w:customStyle="1" w:styleId="BalloonTextChar">
    <w:name w:val="Balloon Text Char"/>
    <w:basedOn w:val="DefaultParagraphFont"/>
    <w:link w:val="BalloonText"/>
    <w:uiPriority w:val="99"/>
    <w:semiHidden/>
    <w:rsid w:val="00FE0808"/>
    <w:rPr>
      <w:rFonts w:ascii="Tahoma" w:eastAsia="Times New Roman" w:hAnsi="Tahoma" w:cs="Tahoma"/>
      <w:sz w:val="16"/>
      <w:szCs w:val="16"/>
    </w:rPr>
  </w:style>
  <w:style w:type="paragraph" w:styleId="Header">
    <w:name w:val="header"/>
    <w:basedOn w:val="Normal"/>
    <w:link w:val="HeaderChar"/>
    <w:uiPriority w:val="99"/>
    <w:unhideWhenUsed/>
    <w:rsid w:val="00D26B56"/>
    <w:pPr>
      <w:tabs>
        <w:tab w:val="center" w:pos="4680"/>
        <w:tab w:val="right" w:pos="9360"/>
      </w:tabs>
    </w:pPr>
  </w:style>
  <w:style w:type="character" w:customStyle="1" w:styleId="HeaderChar">
    <w:name w:val="Header Char"/>
    <w:basedOn w:val="DefaultParagraphFont"/>
    <w:link w:val="Header"/>
    <w:uiPriority w:val="99"/>
    <w:rsid w:val="00D26B56"/>
    <w:rPr>
      <w:rFonts w:ascii="Calibri" w:eastAsia="Times New Roman" w:hAnsi="Calibri" w:cs="Calibri"/>
      <w:sz w:val="22"/>
      <w:szCs w:val="22"/>
    </w:rPr>
  </w:style>
  <w:style w:type="paragraph" w:styleId="Footer">
    <w:name w:val="footer"/>
    <w:basedOn w:val="Normal"/>
    <w:link w:val="FooterChar"/>
    <w:uiPriority w:val="99"/>
    <w:unhideWhenUsed/>
    <w:rsid w:val="00D26B56"/>
    <w:pPr>
      <w:tabs>
        <w:tab w:val="center" w:pos="4680"/>
        <w:tab w:val="right" w:pos="9360"/>
      </w:tabs>
    </w:pPr>
  </w:style>
  <w:style w:type="character" w:customStyle="1" w:styleId="FooterChar">
    <w:name w:val="Footer Char"/>
    <w:basedOn w:val="DefaultParagraphFont"/>
    <w:link w:val="Footer"/>
    <w:uiPriority w:val="99"/>
    <w:rsid w:val="00D26B56"/>
    <w:rPr>
      <w:rFonts w:ascii="Calibri" w:eastAsia="Times New Roman"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CE"/>
    <w:pPr>
      <w:spacing w:after="0" w:line="240" w:lineRule="auto"/>
    </w:pPr>
    <w:rPr>
      <w:rFonts w:ascii="Calibri" w:eastAsia="Times New Roman"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808"/>
    <w:rPr>
      <w:rFonts w:ascii="Tahoma" w:hAnsi="Tahoma" w:cs="Tahoma"/>
      <w:sz w:val="16"/>
      <w:szCs w:val="16"/>
    </w:rPr>
  </w:style>
  <w:style w:type="character" w:customStyle="1" w:styleId="BalloonTextChar">
    <w:name w:val="Balloon Text Char"/>
    <w:basedOn w:val="DefaultParagraphFont"/>
    <w:link w:val="BalloonText"/>
    <w:uiPriority w:val="99"/>
    <w:semiHidden/>
    <w:rsid w:val="00FE0808"/>
    <w:rPr>
      <w:rFonts w:ascii="Tahoma" w:eastAsia="Times New Roman" w:hAnsi="Tahoma" w:cs="Tahoma"/>
      <w:sz w:val="16"/>
      <w:szCs w:val="16"/>
    </w:rPr>
  </w:style>
  <w:style w:type="paragraph" w:styleId="Header">
    <w:name w:val="header"/>
    <w:basedOn w:val="Normal"/>
    <w:link w:val="HeaderChar"/>
    <w:uiPriority w:val="99"/>
    <w:unhideWhenUsed/>
    <w:rsid w:val="00D26B56"/>
    <w:pPr>
      <w:tabs>
        <w:tab w:val="center" w:pos="4680"/>
        <w:tab w:val="right" w:pos="9360"/>
      </w:tabs>
    </w:pPr>
  </w:style>
  <w:style w:type="character" w:customStyle="1" w:styleId="HeaderChar">
    <w:name w:val="Header Char"/>
    <w:basedOn w:val="DefaultParagraphFont"/>
    <w:link w:val="Header"/>
    <w:uiPriority w:val="99"/>
    <w:rsid w:val="00D26B56"/>
    <w:rPr>
      <w:rFonts w:ascii="Calibri" w:eastAsia="Times New Roman" w:hAnsi="Calibri" w:cs="Calibri"/>
      <w:sz w:val="22"/>
      <w:szCs w:val="22"/>
    </w:rPr>
  </w:style>
  <w:style w:type="paragraph" w:styleId="Footer">
    <w:name w:val="footer"/>
    <w:basedOn w:val="Normal"/>
    <w:link w:val="FooterChar"/>
    <w:uiPriority w:val="99"/>
    <w:unhideWhenUsed/>
    <w:rsid w:val="00D26B56"/>
    <w:pPr>
      <w:tabs>
        <w:tab w:val="center" w:pos="4680"/>
        <w:tab w:val="right" w:pos="9360"/>
      </w:tabs>
    </w:pPr>
  </w:style>
  <w:style w:type="character" w:customStyle="1" w:styleId="FooterChar">
    <w:name w:val="Footer Char"/>
    <w:basedOn w:val="DefaultParagraphFont"/>
    <w:link w:val="Footer"/>
    <w:uiPriority w:val="99"/>
    <w:rsid w:val="00D26B56"/>
    <w:rPr>
      <w:rFonts w:ascii="Calibri" w:eastAsia="Times New Roman"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776932">
      <w:bodyDiv w:val="1"/>
      <w:marLeft w:val="0"/>
      <w:marRight w:val="0"/>
      <w:marTop w:val="0"/>
      <w:marBottom w:val="0"/>
      <w:divBdr>
        <w:top w:val="none" w:sz="0" w:space="0" w:color="auto"/>
        <w:left w:val="none" w:sz="0" w:space="0" w:color="auto"/>
        <w:bottom w:val="none" w:sz="0" w:space="0" w:color="auto"/>
        <w:right w:val="none" w:sz="0" w:space="0" w:color="auto"/>
      </w:divBdr>
    </w:div>
    <w:div w:id="789393495">
      <w:bodyDiv w:val="1"/>
      <w:marLeft w:val="0"/>
      <w:marRight w:val="0"/>
      <w:marTop w:val="0"/>
      <w:marBottom w:val="0"/>
      <w:divBdr>
        <w:top w:val="none" w:sz="0" w:space="0" w:color="auto"/>
        <w:left w:val="none" w:sz="0" w:space="0" w:color="auto"/>
        <w:bottom w:val="none" w:sz="0" w:space="0" w:color="auto"/>
        <w:right w:val="none" w:sz="0" w:space="0" w:color="auto"/>
      </w:divBdr>
    </w:div>
    <w:div w:id="20637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9</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9541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7</cp:revision>
  <cp:lastPrinted>2012-09-18T22:11:00Z</cp:lastPrinted>
  <dcterms:created xsi:type="dcterms:W3CDTF">2012-09-18T20:38:00Z</dcterms:created>
  <dcterms:modified xsi:type="dcterms:W3CDTF">2012-09-18T22:25:00Z</dcterms:modified>
</cp:coreProperties>
</file>