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ED" w:rsidRDefault="003326ED" w:rsidP="007F0610">
      <w:pPr>
        <w:jc w:val="center"/>
        <w:rPr>
          <w:b/>
          <w:u w:val="single"/>
        </w:rPr>
      </w:pPr>
      <w:r>
        <w:rPr>
          <w:b/>
          <w:u w:val="single"/>
        </w:rPr>
        <w:t>Follow Up Questions for Kelley Rice-Schild from Hearing Entitled “S. 2838, the Fairness in Nursing Home Arbitration Act”</w:t>
      </w:r>
    </w:p>
    <w:p w:rsidR="003326ED" w:rsidRDefault="003326ED" w:rsidP="007F0610"/>
    <w:p w:rsidR="003326ED" w:rsidRPr="007F0610" w:rsidRDefault="003326ED" w:rsidP="007F0610">
      <w:pPr>
        <w:rPr>
          <w:b/>
          <w:u w:val="single"/>
        </w:rPr>
      </w:pPr>
      <w:r>
        <w:rPr>
          <w:b/>
          <w:u w:val="single"/>
        </w:rPr>
        <w:t>From Senator Kohl</w:t>
      </w:r>
    </w:p>
    <w:p w:rsidR="003326ED" w:rsidRDefault="003326ED" w:rsidP="007F0610">
      <w:pPr>
        <w:autoSpaceDE w:val="0"/>
        <w:autoSpaceDN w:val="0"/>
        <w:adjustRightInd w:val="0"/>
        <w:rPr>
          <w:u w:val="single"/>
        </w:rPr>
      </w:pPr>
    </w:p>
    <w:p w:rsidR="003326ED" w:rsidRDefault="003326ED" w:rsidP="007F0610">
      <w:pPr>
        <w:numPr>
          <w:ilvl w:val="1"/>
          <w:numId w:val="2"/>
        </w:numPr>
        <w:tabs>
          <w:tab w:val="num" w:pos="720"/>
        </w:tabs>
        <w:ind w:left="720"/>
      </w:pPr>
      <w:r>
        <w:t>I</w:t>
      </w:r>
      <w:r w:rsidRPr="00F92CCD">
        <w:t>n response to my question that the vast majority of long-term care residents have some type of cognitive impairment</w:t>
      </w:r>
      <w:r>
        <w:t xml:space="preserve">, ranging from mild cognitive impairment to </w:t>
      </w:r>
      <w:r w:rsidRPr="00F92CCD">
        <w:t>dementia or Alzheimer’s</w:t>
      </w:r>
      <w:r>
        <w:t>,</w:t>
      </w:r>
      <w:r w:rsidRPr="00F92CCD">
        <w:t xml:space="preserve"> you responded that these people </w:t>
      </w:r>
      <w:r>
        <w:t xml:space="preserve">are protected by </w:t>
      </w:r>
      <w:r w:rsidRPr="00F92CCD">
        <w:t xml:space="preserve">Health Care </w:t>
      </w:r>
      <w:r>
        <w:t>“</w:t>
      </w:r>
      <w:r w:rsidRPr="00F92CCD">
        <w:t>proxies</w:t>
      </w:r>
      <w:r>
        <w:t xml:space="preserve">” or “surrogates” who are deemed competent to sign an admissions agreement.  However, </w:t>
      </w:r>
      <w:smartTag w:uri="urn:schemas-microsoft-com:office:smarttags" w:element="place">
        <w:smartTag w:uri="urn:schemas-microsoft-com:office:smarttags" w:element="State">
          <w:r w:rsidRPr="00F92CCD">
            <w:t>Florida</w:t>
          </w:r>
        </w:smartTag>
      </w:smartTag>
      <w:r w:rsidRPr="00F92CCD">
        <w:t xml:space="preserve"> courts have held that a health care surrogate does not have the authority to bind the </w:t>
      </w:r>
      <w:r>
        <w:t xml:space="preserve">resident with an arbitration clause, </w:t>
      </w:r>
      <w:r w:rsidRPr="00A84720">
        <w:rPr>
          <w:bCs/>
          <w:i/>
        </w:rPr>
        <w:t>Blankfeld v. Richmond Health Care, Inc</w:t>
      </w:r>
      <w:r w:rsidRPr="007E3EE6">
        <w:rPr>
          <w:bCs/>
        </w:rPr>
        <w:t xml:space="preserve">., 902 So. 2d 296, 2005 Fla. App. LEXIS 7962, 30 </w:t>
      </w:r>
      <w:smartTag w:uri="urn:schemas-microsoft-com:office:smarttags" w:element="place">
        <w:smartTag w:uri="urn:schemas-microsoft-com:office:smarttags" w:element="State">
          <w:r w:rsidRPr="007E3EE6">
            <w:rPr>
              <w:bCs/>
            </w:rPr>
            <w:t>Fla.</w:t>
          </w:r>
        </w:smartTag>
      </w:smartTag>
      <w:r w:rsidRPr="007E3EE6">
        <w:rPr>
          <w:bCs/>
        </w:rPr>
        <w:t xml:space="preserve"> L. Weekly D 1325 (Fla. Dist. Ct. App. 4th Dist. 2005)</w:t>
      </w:r>
      <w:r w:rsidRPr="007E3EE6">
        <w:t>,</w:t>
      </w:r>
      <w:r w:rsidRPr="00F92CCD">
        <w:t xml:space="preserve"> </w:t>
      </w:r>
      <w:r w:rsidRPr="00A84720">
        <w:rPr>
          <w:i/>
        </w:rPr>
        <w:t>review denied by</w:t>
      </w:r>
      <w:r w:rsidRPr="00F92CCD">
        <w:t xml:space="preserve"> </w:t>
      </w:r>
      <w:r w:rsidRPr="007E3EE6">
        <w:t xml:space="preserve">917 So. 2d 195, 2005 </w:t>
      </w:r>
      <w:smartTag w:uri="urn:schemas-microsoft-com:office:smarttags" w:element="State">
        <w:r w:rsidRPr="007E3EE6">
          <w:t>Fla.</w:t>
        </w:r>
      </w:smartTag>
      <w:r w:rsidRPr="007E3EE6">
        <w:t xml:space="preserve"> LEXIS 2421 (</w:t>
      </w:r>
      <w:smartTag w:uri="urn:schemas-microsoft-com:office:smarttags" w:element="place">
        <w:smartTag w:uri="urn:schemas-microsoft-com:office:smarttags" w:element="State">
          <w:r w:rsidRPr="007E3EE6">
            <w:t>Fla.</w:t>
          </w:r>
        </w:smartTag>
      </w:smartTag>
      <w:r w:rsidRPr="007E3EE6">
        <w:t xml:space="preserve"> 2005)</w:t>
      </w:r>
      <w:r>
        <w:t xml:space="preserve">.  </w:t>
      </w:r>
    </w:p>
    <w:p w:rsidR="003326ED" w:rsidRPr="00A84720" w:rsidRDefault="003326ED" w:rsidP="007F0610">
      <w:pPr>
        <w:ind w:left="360"/>
      </w:pPr>
    </w:p>
    <w:p w:rsidR="003326ED" w:rsidRDefault="003326ED" w:rsidP="007F0610">
      <w:pPr>
        <w:numPr>
          <w:ilvl w:val="0"/>
          <w:numId w:val="1"/>
        </w:numPr>
        <w:autoSpaceDE w:val="0"/>
        <w:autoSpaceDN w:val="0"/>
        <w:adjustRightInd w:val="0"/>
      </w:pPr>
      <w:r w:rsidRPr="007E3EE6">
        <w:t xml:space="preserve">Again, how do you ensure that residents who sign arbitration agreements </w:t>
      </w:r>
      <w:r>
        <w:t xml:space="preserve">– as they, not their health care surrogate, must do – </w:t>
      </w:r>
      <w:r w:rsidRPr="007E3EE6">
        <w:t>fully understand the consequences of</w:t>
      </w:r>
      <w:r>
        <w:t xml:space="preserve"> agreeing to pre-dispute mandatory arbitration?  </w:t>
      </w:r>
    </w:p>
    <w:p w:rsidR="003326ED" w:rsidRDefault="003326ED" w:rsidP="00C02D15">
      <w:pPr>
        <w:autoSpaceDE w:val="0"/>
        <w:autoSpaceDN w:val="0"/>
        <w:adjustRightInd w:val="0"/>
        <w:ind w:left="720"/>
      </w:pPr>
    </w:p>
    <w:p w:rsidR="003326ED" w:rsidRPr="00F92CCD" w:rsidRDefault="003326ED" w:rsidP="007F0610">
      <w:pPr>
        <w:numPr>
          <w:ilvl w:val="0"/>
          <w:numId w:val="1"/>
        </w:numPr>
        <w:autoSpaceDE w:val="0"/>
        <w:autoSpaceDN w:val="0"/>
        <w:adjustRightInd w:val="0"/>
      </w:pPr>
      <w:r>
        <w:t xml:space="preserve">What about residents that may have sufficient capacity to admit themselves to a long-term care facility, and therefore do not require a power of attorney, but </w:t>
      </w:r>
      <w:r w:rsidRPr="0036445E">
        <w:t>have trouble understanding the ramifications and consequences of agreement to arbitration</w:t>
      </w:r>
    </w:p>
    <w:p w:rsidR="003326ED" w:rsidRDefault="003326ED" w:rsidP="007F0610"/>
    <w:p w:rsidR="003326ED" w:rsidRPr="00C02D15" w:rsidRDefault="003326ED" w:rsidP="00C02D15">
      <w:pPr>
        <w:autoSpaceDE w:val="0"/>
        <w:autoSpaceDN w:val="0"/>
        <w:adjustRightInd w:val="0"/>
        <w:ind w:left="720"/>
        <w:rPr>
          <w:b/>
        </w:rPr>
      </w:pPr>
      <w:r w:rsidRPr="00C02D15">
        <w:rPr>
          <w:b/>
        </w:rPr>
        <w:t xml:space="preserve">ANSWER: All residents and/or their surrogates who sign the admission documentation are free to consult with family members and/or an attorney if they do not fully understand any document they may or may not sign. AHCA supports the use of a 30-day window in which the resident may opt-out of an arbitration agreement, which should be sufficient time to become aware of the purpose and consequence of such a document. </w:t>
      </w:r>
      <w:r>
        <w:rPr>
          <w:b/>
        </w:rPr>
        <w:t xml:space="preserve">  It is also important to note that the industry advocates that arbitration agreements in a long term care setting are separate, distinct documents and not buried in the fine print of a complicated contract.</w:t>
      </w:r>
    </w:p>
    <w:p w:rsidR="003326ED" w:rsidRPr="00F92CCD" w:rsidRDefault="003326ED" w:rsidP="007F0610"/>
    <w:p w:rsidR="003326ED" w:rsidRDefault="003326ED" w:rsidP="007F0610">
      <w:pPr>
        <w:numPr>
          <w:ilvl w:val="1"/>
          <w:numId w:val="2"/>
        </w:numPr>
        <w:tabs>
          <w:tab w:val="num" w:pos="720"/>
        </w:tabs>
        <w:ind w:left="720"/>
      </w:pPr>
      <w:r>
        <w:t>Y</w:t>
      </w:r>
      <w:r w:rsidRPr="0036445E">
        <w:t xml:space="preserve">ou testified say that about 90 percent of your residents sign the </w:t>
      </w:r>
      <w:r>
        <w:t xml:space="preserve">pre-dispute mandatory arbitration </w:t>
      </w:r>
      <w:r w:rsidRPr="0036445E">
        <w:t>agreements</w:t>
      </w:r>
      <w:r>
        <w:t xml:space="preserve"> that are included in your admissions documents</w:t>
      </w:r>
      <w:r w:rsidRPr="0036445E">
        <w:t xml:space="preserve">.  Do you think they would sign such agreements </w:t>
      </w:r>
      <w:r>
        <w:t xml:space="preserve">if they knew that the American Arbitration Association, the American Medical Association and the American Bar Association oppose long-term care facility arbitration between a resident and a facility when the arbitration agreement was entered into before the dispute occurred?  </w:t>
      </w:r>
    </w:p>
    <w:p w:rsidR="003326ED" w:rsidRDefault="003326ED" w:rsidP="007F0610">
      <w:pPr>
        <w:ind w:left="360"/>
      </w:pPr>
    </w:p>
    <w:p w:rsidR="003326ED" w:rsidRPr="00C02D15" w:rsidRDefault="003326ED" w:rsidP="00C02D15">
      <w:pPr>
        <w:ind w:left="720"/>
        <w:rPr>
          <w:b/>
        </w:rPr>
      </w:pPr>
      <w:r>
        <w:rPr>
          <w:b/>
        </w:rPr>
        <w:t xml:space="preserve">ANSWER: </w:t>
      </w:r>
      <w:r w:rsidRPr="00C02D15">
        <w:rPr>
          <w:b/>
        </w:rPr>
        <w:t>The choice to sign the arbitration document is a personal choice. Many factors may play a role in an individual</w:t>
      </w:r>
      <w:r>
        <w:rPr>
          <w:b/>
        </w:rPr>
        <w:t>’s</w:t>
      </w:r>
      <w:r w:rsidRPr="00C02D15">
        <w:rPr>
          <w:b/>
        </w:rPr>
        <w:t xml:space="preserve"> decision to sign such an agreement – including the knowledge that should a future dispute arise, arbitration offers</w:t>
      </w:r>
      <w:r>
        <w:rPr>
          <w:b/>
        </w:rPr>
        <w:t xml:space="preserve"> a </w:t>
      </w:r>
      <w:r w:rsidRPr="00C02D15">
        <w:rPr>
          <w:b/>
        </w:rPr>
        <w:t>less</w:t>
      </w:r>
      <w:r>
        <w:rPr>
          <w:b/>
        </w:rPr>
        <w:t xml:space="preserve"> costly remedy and </w:t>
      </w:r>
      <w:r w:rsidRPr="00C02D15">
        <w:rPr>
          <w:b/>
        </w:rPr>
        <w:t xml:space="preserve">in most cases a quicker </w:t>
      </w:r>
      <w:r>
        <w:rPr>
          <w:b/>
        </w:rPr>
        <w:t xml:space="preserve">resolution to the dispute. We also believe that where there is a question of “unequal bargaining” the courts have intervened and that this is the proper forum for such a decision. </w:t>
      </w:r>
    </w:p>
    <w:p w:rsidR="003326ED" w:rsidRDefault="003326ED" w:rsidP="007F0610">
      <w:pPr>
        <w:tabs>
          <w:tab w:val="left" w:pos="1515"/>
        </w:tabs>
        <w:ind w:left="360"/>
      </w:pPr>
      <w:r>
        <w:tab/>
      </w:r>
    </w:p>
    <w:p w:rsidR="003326ED" w:rsidRDefault="003326ED" w:rsidP="007F0610">
      <w:pPr>
        <w:numPr>
          <w:ilvl w:val="1"/>
          <w:numId w:val="2"/>
        </w:numPr>
        <w:tabs>
          <w:tab w:val="num" w:pos="720"/>
        </w:tabs>
        <w:ind w:left="720"/>
      </w:pPr>
      <w:r>
        <w:t>You testify about the importance your organization places on quality and transparency, yet the arbitration proceedings are closed to the public and complaints and other decisions are not published.  In keeping with this goal of transparency, should there be a mechanism for publicizing long term care facility arbitration complaints and decisions so that like court documents they are accessible to the public?</w:t>
      </w:r>
    </w:p>
    <w:p w:rsidR="003326ED" w:rsidRDefault="003326ED" w:rsidP="007F0610">
      <w:pPr>
        <w:tabs>
          <w:tab w:val="num" w:pos="1800"/>
        </w:tabs>
        <w:ind w:left="360"/>
      </w:pPr>
    </w:p>
    <w:p w:rsidR="003326ED" w:rsidRPr="00C02D15" w:rsidRDefault="003326ED" w:rsidP="00C02D15">
      <w:pPr>
        <w:tabs>
          <w:tab w:val="num" w:pos="1800"/>
        </w:tabs>
        <w:ind w:left="720"/>
        <w:rPr>
          <w:b/>
        </w:rPr>
      </w:pPr>
      <w:r w:rsidRPr="00C02D15">
        <w:rPr>
          <w:b/>
        </w:rPr>
        <w:t>ANSWER: The quality of care provided by a skilled nursing facility can be ascertained by examining</w:t>
      </w:r>
      <w:r>
        <w:rPr>
          <w:b/>
        </w:rPr>
        <w:t xml:space="preserve"> information</w:t>
      </w:r>
      <w:r w:rsidRPr="00C02D15">
        <w:rPr>
          <w:b/>
        </w:rPr>
        <w:t xml:space="preserve"> </w:t>
      </w:r>
      <w:r>
        <w:rPr>
          <w:b/>
        </w:rPr>
        <w:t>that is</w:t>
      </w:r>
      <w:r w:rsidRPr="00C02D15">
        <w:rPr>
          <w:b/>
        </w:rPr>
        <w:t xml:space="preserve"> </w:t>
      </w:r>
      <w:r>
        <w:rPr>
          <w:b/>
        </w:rPr>
        <w:t xml:space="preserve">consistently </w:t>
      </w:r>
      <w:r w:rsidRPr="00C02D15">
        <w:rPr>
          <w:b/>
        </w:rPr>
        <w:t>available</w:t>
      </w:r>
      <w:r>
        <w:rPr>
          <w:b/>
        </w:rPr>
        <w:t xml:space="preserve"> to the public. </w:t>
      </w:r>
      <w:r w:rsidRPr="00C02D15">
        <w:rPr>
          <w:b/>
        </w:rPr>
        <w:t xml:space="preserve"> </w:t>
      </w:r>
      <w:r>
        <w:rPr>
          <w:b/>
        </w:rPr>
        <w:t>The CMS website,</w:t>
      </w:r>
      <w:r w:rsidRPr="00C02D15">
        <w:rPr>
          <w:b/>
        </w:rPr>
        <w:t xml:space="preserve"> nursinghomecompare.gov</w:t>
      </w:r>
      <w:r>
        <w:rPr>
          <w:b/>
        </w:rPr>
        <w:t>,</w:t>
      </w:r>
      <w:r w:rsidRPr="00C02D15">
        <w:rPr>
          <w:b/>
        </w:rPr>
        <w:t xml:space="preserve"> and </w:t>
      </w:r>
      <w:r>
        <w:rPr>
          <w:b/>
        </w:rPr>
        <w:t xml:space="preserve">state licensing agencies, such as those in my own state of Florida, provide detailed </w:t>
      </w:r>
      <w:r w:rsidRPr="00C02D15">
        <w:rPr>
          <w:b/>
        </w:rPr>
        <w:t xml:space="preserve">information </w:t>
      </w:r>
      <w:r>
        <w:rPr>
          <w:b/>
        </w:rPr>
        <w:t xml:space="preserve">that may be useful to consumers, including complaints filed. </w:t>
      </w:r>
    </w:p>
    <w:p w:rsidR="003326ED" w:rsidRDefault="003326ED" w:rsidP="007F0610">
      <w:pPr>
        <w:tabs>
          <w:tab w:val="num" w:pos="1800"/>
        </w:tabs>
        <w:ind w:left="360"/>
      </w:pPr>
    </w:p>
    <w:p w:rsidR="003326ED" w:rsidRDefault="003326ED" w:rsidP="007F0610">
      <w:pPr>
        <w:numPr>
          <w:ilvl w:val="1"/>
          <w:numId w:val="2"/>
        </w:numPr>
        <w:tabs>
          <w:tab w:val="num" w:pos="720"/>
        </w:tabs>
        <w:ind w:left="720"/>
      </w:pPr>
      <w:r>
        <w:t>I</w:t>
      </w:r>
      <w:r w:rsidRPr="0087145C">
        <w:t>n</w:t>
      </w:r>
      <w:r>
        <w:t xml:space="preserve"> your written testimony you claim that public sentiment favors arbitration.  Yet a recent national poll by survey firm Peter D. Hart Research Associates Inc. indicates that </w:t>
      </w:r>
      <w:r w:rsidRPr="00EE2D74">
        <w:t>when consumers learn that the c</w:t>
      </w:r>
      <w:r>
        <w:t>ompany picks the arbitrator, that</w:t>
      </w:r>
      <w:r w:rsidRPr="00EE2D74">
        <w:t xml:space="preserve"> they give up their right to take the case to court and </w:t>
      </w:r>
      <w:r>
        <w:t xml:space="preserve">that </w:t>
      </w:r>
      <w:r w:rsidRPr="00EE2D74">
        <w:t>binding arbitration applies even if</w:t>
      </w:r>
      <w:r>
        <w:t xml:space="preserve"> they are seriously injured, 81%</w:t>
      </w:r>
      <w:r w:rsidRPr="00EE2D74">
        <w:t xml:space="preserve"> disapprove.</w:t>
      </w:r>
      <w:r>
        <w:t xml:space="preserve">  This research suggests public sentiment, while it may favor arbitration in some settings, opposes arbitration for long-term care facility disputes involving injuries.  How do you respond?  </w:t>
      </w:r>
    </w:p>
    <w:p w:rsidR="003326ED" w:rsidRDefault="003326ED" w:rsidP="00C02D15">
      <w:pPr>
        <w:tabs>
          <w:tab w:val="num" w:pos="1800"/>
        </w:tabs>
      </w:pPr>
    </w:p>
    <w:p w:rsidR="003326ED" w:rsidRPr="00765964" w:rsidRDefault="003326ED" w:rsidP="00577262">
      <w:pPr>
        <w:tabs>
          <w:tab w:val="num" w:pos="1800"/>
        </w:tabs>
        <w:ind w:left="720"/>
        <w:rPr>
          <w:b/>
        </w:rPr>
      </w:pPr>
      <w:r w:rsidRPr="00765964">
        <w:rPr>
          <w:b/>
        </w:rPr>
        <w:t>ANSWER: We believe that arbitration offers a quicker settlement of disputes, and at a lower cost to the consumer. Consumers should not have their choice to arbitrate limited by Congress.</w:t>
      </w:r>
    </w:p>
    <w:p w:rsidR="003326ED" w:rsidRDefault="003326ED"/>
    <w:p w:rsidR="003326ED" w:rsidRPr="007F0610" w:rsidRDefault="003326ED" w:rsidP="007F0610">
      <w:pPr>
        <w:rPr>
          <w:b/>
          <w:u w:val="single"/>
        </w:rPr>
      </w:pPr>
      <w:r w:rsidRPr="007F0610">
        <w:rPr>
          <w:b/>
          <w:u w:val="single"/>
        </w:rPr>
        <w:t>From Senator Feingold</w:t>
      </w:r>
    </w:p>
    <w:p w:rsidR="003326ED" w:rsidRPr="0065634F" w:rsidRDefault="003326ED" w:rsidP="007F0610">
      <w:pPr>
        <w:rPr>
          <w:color w:val="000000"/>
          <w:sz w:val="26"/>
          <w:szCs w:val="26"/>
        </w:rPr>
      </w:pPr>
    </w:p>
    <w:p w:rsidR="003326ED" w:rsidRPr="007F0610" w:rsidRDefault="003326ED" w:rsidP="007F0610">
      <w:pPr>
        <w:numPr>
          <w:ilvl w:val="0"/>
          <w:numId w:val="4"/>
        </w:numPr>
        <w:rPr>
          <w:color w:val="000000"/>
        </w:rPr>
      </w:pPr>
      <w:r w:rsidRPr="007F0610">
        <w:rPr>
          <w:color w:val="000000"/>
        </w:rPr>
        <w:t>Your testimony discussed a model arbitration form that states that opting out of arbitration will not have an effect on facility admission.</w:t>
      </w:r>
    </w:p>
    <w:p w:rsidR="003326ED" w:rsidRPr="007F0610" w:rsidRDefault="003326ED" w:rsidP="007F0610">
      <w:pPr>
        <w:ind w:left="360"/>
        <w:rPr>
          <w:color w:val="000000"/>
        </w:rPr>
      </w:pPr>
    </w:p>
    <w:p w:rsidR="003326ED" w:rsidRDefault="003326ED" w:rsidP="007F0610">
      <w:pPr>
        <w:numPr>
          <w:ilvl w:val="1"/>
          <w:numId w:val="3"/>
        </w:numPr>
        <w:rPr>
          <w:color w:val="000000"/>
        </w:rPr>
      </w:pPr>
      <w:r w:rsidRPr="007F0610">
        <w:rPr>
          <w:color w:val="000000"/>
        </w:rPr>
        <w:t>Is there any legal requirement that nursing facilities use this form?</w:t>
      </w:r>
    </w:p>
    <w:p w:rsidR="003326ED" w:rsidRPr="00765964" w:rsidRDefault="003326ED" w:rsidP="00765964">
      <w:pPr>
        <w:ind w:left="1080" w:firstLine="360"/>
        <w:rPr>
          <w:b/>
          <w:color w:val="000000"/>
        </w:rPr>
      </w:pPr>
      <w:r w:rsidRPr="00765964">
        <w:rPr>
          <w:b/>
          <w:color w:val="000000"/>
        </w:rPr>
        <w:t>ANSWER: No</w:t>
      </w:r>
      <w:r>
        <w:rPr>
          <w:b/>
          <w:color w:val="000000"/>
        </w:rPr>
        <w:t>.</w:t>
      </w:r>
    </w:p>
    <w:p w:rsidR="003326ED" w:rsidRDefault="003326ED" w:rsidP="007F0610">
      <w:pPr>
        <w:numPr>
          <w:ilvl w:val="1"/>
          <w:numId w:val="3"/>
        </w:numPr>
        <w:rPr>
          <w:color w:val="000000"/>
        </w:rPr>
      </w:pPr>
      <w:r w:rsidRPr="007F0610">
        <w:rPr>
          <w:color w:val="000000"/>
        </w:rPr>
        <w:t>What percentage of facilities are now using this form?</w:t>
      </w:r>
    </w:p>
    <w:p w:rsidR="003326ED" w:rsidRPr="00765964" w:rsidRDefault="003326ED" w:rsidP="00765964">
      <w:pPr>
        <w:ind w:left="1440"/>
        <w:rPr>
          <w:b/>
          <w:color w:val="000000"/>
        </w:rPr>
      </w:pPr>
      <w:r w:rsidRPr="00765964">
        <w:rPr>
          <w:b/>
          <w:color w:val="000000"/>
        </w:rPr>
        <w:t xml:space="preserve">ANSWER: We are unaware of the percentage who use this form or some variation of the form AHCA/NCAL has developed. </w:t>
      </w:r>
    </w:p>
    <w:p w:rsidR="003326ED" w:rsidRDefault="003326ED" w:rsidP="007F0610">
      <w:pPr>
        <w:numPr>
          <w:ilvl w:val="1"/>
          <w:numId w:val="3"/>
        </w:numPr>
        <w:rPr>
          <w:color w:val="000000"/>
        </w:rPr>
      </w:pPr>
      <w:r w:rsidRPr="007F0610">
        <w:rPr>
          <w:color w:val="000000"/>
        </w:rPr>
        <w:t>Do you disagree that in some cases residents believe they must sign all the papers given to them or they won’t be allowed to come to the facility?</w:t>
      </w:r>
    </w:p>
    <w:p w:rsidR="003326ED" w:rsidRDefault="003326ED" w:rsidP="004E1BB1">
      <w:pPr>
        <w:ind w:left="1440"/>
      </w:pPr>
      <w:r w:rsidRPr="00765964">
        <w:rPr>
          <w:b/>
          <w:color w:val="000000"/>
        </w:rPr>
        <w:t>ANSWER: As I state</w:t>
      </w:r>
      <w:r>
        <w:rPr>
          <w:b/>
          <w:color w:val="000000"/>
        </w:rPr>
        <w:t>d</w:t>
      </w:r>
      <w:r w:rsidRPr="00765964">
        <w:rPr>
          <w:b/>
          <w:color w:val="000000"/>
        </w:rPr>
        <w:t xml:space="preserve"> above, if a resident is unclear of any of the consequences of the documents they sign upon admission to a nursing home, they are free to consult with family members and/or legal counsel. </w:t>
      </w:r>
    </w:p>
    <w:sectPr w:rsidR="003326ED" w:rsidSect="004411C9">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6ED" w:rsidRDefault="003326ED">
      <w:r>
        <w:separator/>
      </w:r>
    </w:p>
  </w:endnote>
  <w:endnote w:type="continuationSeparator" w:id="1">
    <w:p w:rsidR="003326ED" w:rsidRDefault="003326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6ED" w:rsidRDefault="003326ED" w:rsidP="005C17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26ED" w:rsidRDefault="003326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6ED" w:rsidRDefault="003326ED" w:rsidP="005C17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326ED" w:rsidRDefault="003326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6ED" w:rsidRDefault="003326ED">
      <w:r>
        <w:separator/>
      </w:r>
    </w:p>
  </w:footnote>
  <w:footnote w:type="continuationSeparator" w:id="1">
    <w:p w:rsidR="003326ED" w:rsidRDefault="003326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A0F8B"/>
    <w:multiLevelType w:val="hybridMultilevel"/>
    <w:tmpl w:val="802ECB24"/>
    <w:lvl w:ilvl="0" w:tplc="2FB226EA">
      <w:start w:val="1"/>
      <w:numFmt w:val="bullet"/>
      <w:lvlText w:val=""/>
      <w:lvlJc w:val="left"/>
      <w:pPr>
        <w:tabs>
          <w:tab w:val="num" w:pos="1080"/>
        </w:tabs>
        <w:ind w:left="1080" w:hanging="360"/>
      </w:pPr>
      <w:rPr>
        <w:rFonts w:ascii="Symbol" w:hAnsi="Symbol" w:hint="default"/>
        <w:sz w:val="16"/>
      </w:rPr>
    </w:lvl>
    <w:lvl w:ilvl="1" w:tplc="9A9491DE">
      <w:start w:val="1"/>
      <w:numFmt w:val="decimal"/>
      <w:lvlText w:val="%2."/>
      <w:lvlJc w:val="left"/>
      <w:pPr>
        <w:tabs>
          <w:tab w:val="num" w:pos="1800"/>
        </w:tabs>
        <w:ind w:left="1800" w:hanging="360"/>
      </w:pPr>
      <w:rPr>
        <w:rFonts w:cs="Times New Roman"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1F676B2"/>
    <w:multiLevelType w:val="hybridMultilevel"/>
    <w:tmpl w:val="B3D4686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E684A3D"/>
    <w:multiLevelType w:val="hybridMultilevel"/>
    <w:tmpl w:val="ABBE079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F674683"/>
    <w:multiLevelType w:val="hybridMultilevel"/>
    <w:tmpl w:val="2182FC52"/>
    <w:lvl w:ilvl="0" w:tplc="2FB226EA">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0610"/>
    <w:rsid w:val="002B5BAE"/>
    <w:rsid w:val="002E2869"/>
    <w:rsid w:val="00321FCC"/>
    <w:rsid w:val="003326ED"/>
    <w:rsid w:val="0036445E"/>
    <w:rsid w:val="004411C9"/>
    <w:rsid w:val="004C64EB"/>
    <w:rsid w:val="004E1BB1"/>
    <w:rsid w:val="00577262"/>
    <w:rsid w:val="005C1735"/>
    <w:rsid w:val="0065634F"/>
    <w:rsid w:val="006B2AC3"/>
    <w:rsid w:val="00765964"/>
    <w:rsid w:val="007E3EE6"/>
    <w:rsid w:val="007F0610"/>
    <w:rsid w:val="0087145C"/>
    <w:rsid w:val="009841C8"/>
    <w:rsid w:val="009E57CF"/>
    <w:rsid w:val="00A41E24"/>
    <w:rsid w:val="00A84720"/>
    <w:rsid w:val="00BB6F40"/>
    <w:rsid w:val="00C02D15"/>
    <w:rsid w:val="00CF7DA0"/>
    <w:rsid w:val="00E2019C"/>
    <w:rsid w:val="00E41CE7"/>
    <w:rsid w:val="00EE2D74"/>
    <w:rsid w:val="00F01693"/>
    <w:rsid w:val="00F92CC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610"/>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411C9"/>
    <w:pPr>
      <w:tabs>
        <w:tab w:val="center" w:pos="4320"/>
        <w:tab w:val="right" w:pos="8640"/>
      </w:tabs>
    </w:pPr>
  </w:style>
  <w:style w:type="character" w:customStyle="1" w:styleId="FooterChar">
    <w:name w:val="Footer Char"/>
    <w:basedOn w:val="DefaultParagraphFont"/>
    <w:link w:val="Footer"/>
    <w:uiPriority w:val="99"/>
    <w:semiHidden/>
    <w:rsid w:val="007E6CCA"/>
    <w:rPr>
      <w:sz w:val="24"/>
      <w:szCs w:val="24"/>
    </w:rPr>
  </w:style>
  <w:style w:type="character" w:styleId="PageNumber">
    <w:name w:val="page number"/>
    <w:basedOn w:val="DefaultParagraphFont"/>
    <w:uiPriority w:val="99"/>
    <w:rsid w:val="004411C9"/>
    <w:rPr>
      <w:rFonts w:cs="Times New Roman"/>
    </w:rPr>
  </w:style>
  <w:style w:type="paragraph" w:styleId="BalloonText">
    <w:name w:val="Balloon Text"/>
    <w:basedOn w:val="Normal"/>
    <w:link w:val="BalloonTextChar"/>
    <w:uiPriority w:val="99"/>
    <w:semiHidden/>
    <w:rsid w:val="00321FCC"/>
    <w:rPr>
      <w:rFonts w:ascii="Tahoma" w:hAnsi="Tahoma" w:cs="Tahoma"/>
      <w:sz w:val="16"/>
      <w:szCs w:val="16"/>
    </w:rPr>
  </w:style>
  <w:style w:type="character" w:customStyle="1" w:styleId="BalloonTextChar">
    <w:name w:val="Balloon Text Char"/>
    <w:basedOn w:val="DefaultParagraphFont"/>
    <w:link w:val="BalloonText"/>
    <w:uiPriority w:val="99"/>
    <w:semiHidden/>
    <w:rsid w:val="007E6CCA"/>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772</Words>
  <Characters>4406</Characters>
  <Application>Microsoft Office Outlook</Application>
  <DocSecurity>0</DocSecurity>
  <Lines>0</Lines>
  <Paragraphs>0</Paragraphs>
  <ScaleCrop>false</ScaleCrop>
  <Company>US Senate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Follow Up Questions for Kelley Rice-Schild from Hearing Entitled “S</dc:title>
  <dc:subject/>
  <dc:creator>SAA</dc:creator>
  <cp:keywords/>
  <dc:description/>
  <cp:lastModifiedBy>SAA</cp:lastModifiedBy>
  <cp:revision>2</cp:revision>
  <cp:lastPrinted>2008-07-08T14:18:00Z</cp:lastPrinted>
  <dcterms:created xsi:type="dcterms:W3CDTF">2008-07-22T19:30:00Z</dcterms:created>
  <dcterms:modified xsi:type="dcterms:W3CDTF">2008-07-22T19:30:00Z</dcterms:modified>
</cp:coreProperties>
</file>