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41" w:rsidRPr="00C35EF8" w:rsidRDefault="007F5809" w:rsidP="0003377F">
      <w:pPr>
        <w:spacing w:after="0" w:line="240" w:lineRule="auto"/>
        <w:ind w:left="720" w:hanging="360"/>
        <w:jc w:val="center"/>
      </w:pPr>
      <w:r w:rsidRPr="00C35EF8">
        <w:rPr>
          <w:b/>
        </w:rPr>
        <w:t>Patent Reform in the 111</w:t>
      </w:r>
      <w:r w:rsidRPr="00C35EF8">
        <w:rPr>
          <w:b/>
          <w:vertAlign w:val="superscript"/>
        </w:rPr>
        <w:t>th</w:t>
      </w:r>
      <w:r w:rsidRPr="00C35EF8">
        <w:rPr>
          <w:b/>
        </w:rPr>
        <w:t xml:space="preserve"> Congress: Legislation and Recent Court Decisions</w:t>
      </w:r>
    </w:p>
    <w:p w:rsidR="007F5809" w:rsidRPr="00C35EF8" w:rsidRDefault="007F5809" w:rsidP="0003377F">
      <w:pPr>
        <w:spacing w:after="0" w:line="240" w:lineRule="auto"/>
        <w:ind w:left="720" w:hanging="360"/>
        <w:jc w:val="center"/>
      </w:pPr>
      <w:r w:rsidRPr="00C35EF8">
        <w:t>Response to Questions by Professor Mark A. Lemley, Stanford Law School</w:t>
      </w:r>
    </w:p>
    <w:p w:rsidR="007F5809" w:rsidRPr="00C35EF8" w:rsidRDefault="007F5809" w:rsidP="0003377F">
      <w:pPr>
        <w:spacing w:after="0" w:line="240" w:lineRule="auto"/>
        <w:ind w:left="720" w:hanging="360"/>
        <w:jc w:val="center"/>
      </w:pPr>
    </w:p>
    <w:p w:rsidR="00E44AEA" w:rsidRDefault="00E44AEA" w:rsidP="0003377F">
      <w:pPr>
        <w:spacing w:after="0" w:line="240" w:lineRule="auto"/>
        <w:ind w:left="720" w:hanging="360"/>
        <w:rPr>
          <w:b/>
          <w:u w:val="single"/>
        </w:rPr>
      </w:pPr>
    </w:p>
    <w:p w:rsidR="00E44AEA" w:rsidRPr="00E44AEA" w:rsidRDefault="00E44AEA" w:rsidP="0003377F">
      <w:pPr>
        <w:spacing w:after="0" w:line="240" w:lineRule="auto"/>
        <w:ind w:left="720" w:hanging="360"/>
      </w:pPr>
      <w:r>
        <w:tab/>
      </w:r>
      <w:proofErr w:type="gramStart"/>
      <w:r>
        <w:t>Thank you Chairman Leahy and members of the committee for your continued interest in this important issue, and for your questions.</w:t>
      </w:r>
      <w:proofErr w:type="gramEnd"/>
      <w:r>
        <w:t xml:space="preserve">  My answers are below.  </w:t>
      </w:r>
    </w:p>
    <w:p w:rsidR="00E44AEA" w:rsidRDefault="00E44AEA" w:rsidP="0003377F">
      <w:pPr>
        <w:spacing w:after="0" w:line="240" w:lineRule="auto"/>
        <w:ind w:left="720" w:hanging="360"/>
        <w:rPr>
          <w:b/>
          <w:u w:val="single"/>
        </w:rPr>
      </w:pPr>
    </w:p>
    <w:p w:rsidR="007F5809" w:rsidRPr="00C35EF8" w:rsidRDefault="007F5809" w:rsidP="0003377F">
      <w:pPr>
        <w:spacing w:after="0" w:line="240" w:lineRule="auto"/>
        <w:ind w:left="720" w:hanging="360"/>
        <w:rPr>
          <w:b/>
        </w:rPr>
      </w:pPr>
      <w:r w:rsidRPr="00C35EF8">
        <w:rPr>
          <w:b/>
          <w:u w:val="single"/>
        </w:rPr>
        <w:t>Questions from Senator Feinstein</w:t>
      </w:r>
    </w:p>
    <w:p w:rsidR="007F5809" w:rsidRPr="00C35EF8" w:rsidRDefault="007F5809" w:rsidP="0003377F">
      <w:pPr>
        <w:numPr>
          <w:ilvl w:val="0"/>
          <w:numId w:val="1"/>
        </w:numPr>
        <w:spacing w:after="0" w:line="240" w:lineRule="auto"/>
        <w:rPr>
          <w:i/>
        </w:rPr>
      </w:pPr>
      <w:r w:rsidRPr="00C35EF8">
        <w:rPr>
          <w:i/>
        </w:rPr>
        <w:t>Do you believe legislation is needed to improve the patent system and the quality of patents being issued by the PTO?</w:t>
      </w:r>
    </w:p>
    <w:p w:rsidR="007F5809" w:rsidRPr="00C35EF8" w:rsidRDefault="007F5809" w:rsidP="0003377F">
      <w:pPr>
        <w:spacing w:after="0" w:line="240" w:lineRule="auto"/>
        <w:ind w:left="720" w:hanging="360"/>
        <w:rPr>
          <w:i/>
        </w:rPr>
      </w:pPr>
    </w:p>
    <w:p w:rsidR="007F5809" w:rsidRPr="00C35EF8" w:rsidRDefault="00C212F3" w:rsidP="0003377F">
      <w:pPr>
        <w:spacing w:after="0" w:line="240" w:lineRule="auto"/>
        <w:ind w:left="720" w:hanging="360"/>
      </w:pPr>
      <w:r w:rsidRPr="00C35EF8">
        <w:tab/>
      </w:r>
      <w:r w:rsidR="00887906" w:rsidRPr="00C35EF8">
        <w:tab/>
      </w:r>
      <w:r w:rsidR="007F5809" w:rsidRPr="00C35EF8">
        <w:t xml:space="preserve">Yes.  The PTO operates under an enormous backlog, and individual examiners operate under great time pressure.  I believe legislation is appropriate that enables the PTO to allocate its scarce resources more effectively, focusing on the patent applications that are most important.  S. 515 </w:t>
      </w:r>
      <w:proofErr w:type="gramStart"/>
      <w:r w:rsidR="007F5809" w:rsidRPr="00C35EF8">
        <w:t>does</w:t>
      </w:r>
      <w:proofErr w:type="gramEnd"/>
      <w:r w:rsidR="007F5809" w:rsidRPr="00C35EF8">
        <w:t xml:space="preserve"> three things that would help.  First, it </w:t>
      </w:r>
      <w:r w:rsidR="00887906" w:rsidRPr="00C35EF8">
        <w:t xml:space="preserve">expands opportunities for competitors to participate in the process through inter </w:t>
      </w:r>
      <w:proofErr w:type="spellStart"/>
      <w:r w:rsidR="00887906" w:rsidRPr="00C35EF8">
        <w:t>partes</w:t>
      </w:r>
      <w:proofErr w:type="spellEnd"/>
      <w:r w:rsidR="00887906" w:rsidRPr="00C35EF8">
        <w:t xml:space="preserve"> reexamination and post grant opposition.  Second, it permits the submission of prior art by third parties during patent prosecution, allowing the PTO to expand its pilot “peer to patent” program of outside peer review of applications.  Third, it gives fee-setting authority to the PTO.  </w:t>
      </w:r>
    </w:p>
    <w:p w:rsidR="00887906" w:rsidRPr="00C35EF8" w:rsidRDefault="00887906" w:rsidP="0003377F">
      <w:pPr>
        <w:spacing w:after="0" w:line="240" w:lineRule="auto"/>
        <w:ind w:left="720" w:hanging="360"/>
      </w:pPr>
      <w:r w:rsidRPr="00C35EF8">
        <w:tab/>
      </w:r>
    </w:p>
    <w:p w:rsidR="00887906" w:rsidRPr="00C35EF8" w:rsidRDefault="00887906" w:rsidP="0003377F">
      <w:pPr>
        <w:spacing w:after="0" w:line="240" w:lineRule="auto"/>
        <w:ind w:left="720" w:hanging="360"/>
      </w:pPr>
      <w:r w:rsidRPr="00C35EF8">
        <w:rPr>
          <w:i/>
        </w:rPr>
        <w:tab/>
      </w:r>
      <w:r w:rsidR="00C212F3" w:rsidRPr="00C35EF8">
        <w:rPr>
          <w:i/>
        </w:rPr>
        <w:tab/>
      </w:r>
      <w:r w:rsidRPr="00C35EF8">
        <w:t xml:space="preserve">Two additional changes would be appropriate.  First, the provision of S. 515 limiting patent searches to U.S. citizens is inconsistent with the thrust of the rest of the bill, and should be discarded.  Second, Congress should explore the possibility of creating a two-tiered patent system, allowing patent applicants with important inventions to invest in additional scrutiny by the PTO and receive a stronger patent in return.  I detail this latter possibility in more detail in a recent article.  </w:t>
      </w:r>
      <w:proofErr w:type="gramStart"/>
      <w:r w:rsidRPr="00C35EF8">
        <w:t xml:space="preserve">Doug </w:t>
      </w:r>
      <w:proofErr w:type="spellStart"/>
      <w:r w:rsidRPr="00C35EF8">
        <w:t>Lichtman</w:t>
      </w:r>
      <w:proofErr w:type="spellEnd"/>
      <w:r w:rsidRPr="00C35EF8">
        <w:t xml:space="preserve"> &amp; Mark Lemley, </w:t>
      </w:r>
      <w:r w:rsidRPr="00C35EF8">
        <w:rPr>
          <w:i/>
        </w:rPr>
        <w:t>Rethinking Patent Law’s Presumption of Validity</w:t>
      </w:r>
      <w:r w:rsidRPr="00C35EF8">
        <w:t xml:space="preserve">, 60 </w:t>
      </w:r>
      <w:r w:rsidRPr="00C35EF8">
        <w:rPr>
          <w:b/>
        </w:rPr>
        <w:t>Stan.</w:t>
      </w:r>
      <w:proofErr w:type="gramEnd"/>
      <w:r w:rsidRPr="00C35EF8">
        <w:rPr>
          <w:b/>
        </w:rPr>
        <w:t xml:space="preserve"> L. Rev.</w:t>
      </w:r>
      <w:r w:rsidRPr="00C35EF8">
        <w:t xml:space="preserve"> 45 (2007).</w:t>
      </w:r>
    </w:p>
    <w:p w:rsidR="007F5809" w:rsidRPr="00C35EF8" w:rsidRDefault="007F5809" w:rsidP="0003377F">
      <w:pPr>
        <w:spacing w:after="0" w:line="240" w:lineRule="auto"/>
        <w:ind w:left="720" w:hanging="360"/>
      </w:pPr>
    </w:p>
    <w:p w:rsidR="007F5809" w:rsidRPr="00C35EF8" w:rsidRDefault="007F5809" w:rsidP="0003377F">
      <w:pPr>
        <w:numPr>
          <w:ilvl w:val="0"/>
          <w:numId w:val="1"/>
        </w:numPr>
        <w:spacing w:after="0" w:line="240" w:lineRule="auto"/>
        <w:rPr>
          <w:i/>
        </w:rPr>
      </w:pPr>
      <w:r w:rsidRPr="00C35EF8">
        <w:rPr>
          <w:i/>
        </w:rPr>
        <w:t>Last Congress, after the Committee marked up the bill, there were several meetings held with lawyers and lobbyists for the various industries.  At one point, there were approximately a dozen outstanding issues that needed to be resolved – damages, post-grant review, venue, inequitable conduct, fee diversion, first-to-file, interlocutory appeal, markings, best mode, applicant quality submissions, and willfulness.  Between the court cases that have come out and the changes to the bill Senator Leahy has introduced, how many of these issues remain unresolved?</w:t>
      </w:r>
    </w:p>
    <w:p w:rsidR="007F5809" w:rsidRPr="00C35EF8" w:rsidRDefault="007F5809" w:rsidP="0003377F">
      <w:pPr>
        <w:pStyle w:val="ListParagraph"/>
        <w:ind w:hanging="360"/>
        <w:rPr>
          <w:rFonts w:asciiTheme="minorHAnsi" w:hAnsiTheme="minorHAnsi"/>
          <w:sz w:val="22"/>
          <w:szCs w:val="22"/>
        </w:rPr>
      </w:pPr>
    </w:p>
    <w:p w:rsidR="00887906" w:rsidRPr="00C35EF8" w:rsidRDefault="00887906" w:rsidP="0003377F">
      <w:pPr>
        <w:pStyle w:val="ListParagraph"/>
        <w:ind w:hanging="360"/>
        <w:rPr>
          <w:rFonts w:asciiTheme="minorHAnsi" w:hAnsiTheme="minorHAnsi"/>
          <w:sz w:val="22"/>
          <w:szCs w:val="22"/>
        </w:rPr>
      </w:pPr>
      <w:r w:rsidRPr="00C35EF8">
        <w:rPr>
          <w:rFonts w:asciiTheme="minorHAnsi" w:hAnsiTheme="minorHAnsi"/>
          <w:sz w:val="22"/>
          <w:szCs w:val="22"/>
        </w:rPr>
        <w:tab/>
      </w:r>
      <w:r w:rsidR="00C212F3" w:rsidRPr="00C35EF8">
        <w:rPr>
          <w:rFonts w:asciiTheme="minorHAnsi" w:hAnsiTheme="minorHAnsi"/>
          <w:sz w:val="22"/>
          <w:szCs w:val="22"/>
        </w:rPr>
        <w:tab/>
      </w:r>
      <w:r w:rsidRPr="00C35EF8">
        <w:rPr>
          <w:rFonts w:asciiTheme="minorHAnsi" w:hAnsiTheme="minorHAnsi"/>
          <w:sz w:val="22"/>
          <w:szCs w:val="22"/>
        </w:rPr>
        <w:t xml:space="preserve">Of the issues listed here, courts have largely solved the venue, inequitable conduct, applicant quality submission, and willfulness problems.  Senator Leahy’s bill would solve the damages and first to file problems, and take a partial step towards instituting post-grant review.  I don’t believe there is need for change in the law with respect to interlocutory appeal, marking, </w:t>
      </w:r>
      <w:proofErr w:type="gramStart"/>
      <w:r w:rsidRPr="00C35EF8">
        <w:rPr>
          <w:rFonts w:asciiTheme="minorHAnsi" w:hAnsiTheme="minorHAnsi"/>
          <w:sz w:val="22"/>
          <w:szCs w:val="22"/>
        </w:rPr>
        <w:t>or</w:t>
      </w:r>
      <w:proofErr w:type="gramEnd"/>
      <w:r w:rsidRPr="00C35EF8">
        <w:rPr>
          <w:rFonts w:asciiTheme="minorHAnsi" w:hAnsiTheme="minorHAnsi"/>
          <w:sz w:val="22"/>
          <w:szCs w:val="22"/>
        </w:rPr>
        <w:t xml:space="preserve"> best mode, though I have no objection to changes in the latter two areas.  The one area remaining to be addressed by legislation is fee diversion.  </w:t>
      </w:r>
    </w:p>
    <w:p w:rsidR="00887906" w:rsidRPr="00C35EF8" w:rsidRDefault="00887906" w:rsidP="0003377F">
      <w:pPr>
        <w:pStyle w:val="ListParagraph"/>
        <w:ind w:hanging="360"/>
        <w:rPr>
          <w:rFonts w:asciiTheme="minorHAnsi" w:hAnsiTheme="minorHAnsi"/>
          <w:sz w:val="22"/>
          <w:szCs w:val="22"/>
        </w:rPr>
      </w:pPr>
    </w:p>
    <w:p w:rsidR="00887906" w:rsidRPr="00C35EF8" w:rsidRDefault="00887906" w:rsidP="0003377F">
      <w:pPr>
        <w:pStyle w:val="ListParagraph"/>
        <w:ind w:hanging="360"/>
        <w:rPr>
          <w:rFonts w:asciiTheme="minorHAnsi" w:hAnsiTheme="minorHAnsi"/>
          <w:sz w:val="22"/>
          <w:szCs w:val="22"/>
        </w:rPr>
      </w:pPr>
    </w:p>
    <w:p w:rsidR="007F5809" w:rsidRPr="00C35EF8" w:rsidRDefault="007F5809" w:rsidP="0003377F">
      <w:pPr>
        <w:numPr>
          <w:ilvl w:val="0"/>
          <w:numId w:val="1"/>
        </w:numPr>
        <w:spacing w:after="0" w:line="240" w:lineRule="auto"/>
        <w:rPr>
          <w:i/>
        </w:rPr>
      </w:pPr>
      <w:r w:rsidRPr="00C35EF8">
        <w:rPr>
          <w:i/>
        </w:rPr>
        <w:t>Is there a middle ground that could treat these different industries and business models fairly on how judges and juries calculate damages?</w:t>
      </w:r>
    </w:p>
    <w:p w:rsidR="007F5809" w:rsidRPr="00C35EF8" w:rsidRDefault="007F5809" w:rsidP="0003377F">
      <w:pPr>
        <w:pStyle w:val="ListParagraph"/>
        <w:ind w:hanging="360"/>
        <w:rPr>
          <w:rFonts w:asciiTheme="minorHAnsi" w:hAnsiTheme="minorHAnsi"/>
          <w:i/>
          <w:sz w:val="22"/>
          <w:szCs w:val="22"/>
        </w:rPr>
      </w:pPr>
    </w:p>
    <w:p w:rsidR="007F5809" w:rsidRPr="00C35EF8" w:rsidRDefault="007F5809" w:rsidP="0003377F">
      <w:pPr>
        <w:numPr>
          <w:ilvl w:val="0"/>
          <w:numId w:val="1"/>
        </w:numPr>
        <w:spacing w:after="0" w:line="240" w:lineRule="auto"/>
        <w:rPr>
          <w:i/>
        </w:rPr>
      </w:pPr>
      <w:r w:rsidRPr="00C35EF8">
        <w:rPr>
          <w:i/>
        </w:rPr>
        <w:t>Please provide comments on whether Senator Feinstein’s legislative language is workable.</w:t>
      </w:r>
    </w:p>
    <w:p w:rsidR="007F5809" w:rsidRPr="00C35EF8" w:rsidRDefault="007F5809" w:rsidP="0003377F">
      <w:pPr>
        <w:pStyle w:val="ListParagraph"/>
        <w:ind w:hanging="360"/>
        <w:rPr>
          <w:rFonts w:asciiTheme="minorHAnsi" w:hAnsiTheme="minorHAnsi"/>
          <w:i/>
          <w:sz w:val="22"/>
          <w:szCs w:val="22"/>
        </w:rPr>
      </w:pPr>
    </w:p>
    <w:p w:rsidR="007F5809" w:rsidRPr="00C35EF8" w:rsidRDefault="007F5809" w:rsidP="0003377F">
      <w:pPr>
        <w:numPr>
          <w:ilvl w:val="0"/>
          <w:numId w:val="1"/>
        </w:numPr>
        <w:spacing w:after="0" w:line="240" w:lineRule="auto"/>
        <w:rPr>
          <w:i/>
        </w:rPr>
      </w:pPr>
      <w:r w:rsidRPr="00C35EF8">
        <w:rPr>
          <w:i/>
        </w:rPr>
        <w:lastRenderedPageBreak/>
        <w:t>Do you support requiring the judge to serve as a “gate-keeper” – meaning there has to be a determination as to which of the Georgia Pacific factors go to the jury – but also leaving all the Georgia Pacific factors available to choose from?</w:t>
      </w:r>
    </w:p>
    <w:p w:rsidR="007F5809" w:rsidRPr="00C35EF8" w:rsidRDefault="007F5809" w:rsidP="0003377F">
      <w:pPr>
        <w:pStyle w:val="ListParagraph"/>
        <w:ind w:hanging="360"/>
        <w:rPr>
          <w:rFonts w:asciiTheme="minorHAnsi" w:hAnsiTheme="minorHAnsi"/>
          <w:i/>
          <w:sz w:val="22"/>
          <w:szCs w:val="22"/>
        </w:rPr>
      </w:pPr>
    </w:p>
    <w:p w:rsidR="007F5809" w:rsidRPr="00C35EF8" w:rsidRDefault="007F5809" w:rsidP="0003377F">
      <w:pPr>
        <w:numPr>
          <w:ilvl w:val="0"/>
          <w:numId w:val="1"/>
        </w:numPr>
        <w:spacing w:after="0" w:line="240" w:lineRule="auto"/>
        <w:rPr>
          <w:i/>
        </w:rPr>
      </w:pPr>
      <w:r w:rsidRPr="00C35EF8">
        <w:rPr>
          <w:i/>
        </w:rPr>
        <w:t>If there isn’t a fair middle ground, why not pass a bill that includes legislative language that helps the Patent and Trademark Office do their job better and any other policies where there is a compromise solution and not address damages?</w:t>
      </w:r>
    </w:p>
    <w:p w:rsidR="007F5809" w:rsidRPr="00C35EF8" w:rsidRDefault="007F5809" w:rsidP="0003377F">
      <w:pPr>
        <w:pStyle w:val="ListParagraph"/>
        <w:ind w:hanging="360"/>
        <w:rPr>
          <w:rFonts w:asciiTheme="minorHAnsi" w:hAnsiTheme="minorHAnsi"/>
          <w:sz w:val="22"/>
          <w:szCs w:val="22"/>
        </w:rPr>
      </w:pPr>
    </w:p>
    <w:p w:rsidR="00887906" w:rsidRPr="00C35EF8" w:rsidRDefault="00887906" w:rsidP="0003377F">
      <w:pPr>
        <w:pStyle w:val="ListParagraph"/>
        <w:ind w:hanging="360"/>
        <w:rPr>
          <w:rFonts w:asciiTheme="minorHAnsi" w:hAnsiTheme="minorHAnsi"/>
          <w:sz w:val="22"/>
          <w:szCs w:val="22"/>
        </w:rPr>
      </w:pPr>
      <w:r w:rsidRPr="00C35EF8">
        <w:rPr>
          <w:rFonts w:asciiTheme="minorHAnsi" w:hAnsiTheme="minorHAnsi"/>
          <w:sz w:val="22"/>
          <w:szCs w:val="22"/>
        </w:rPr>
        <w:tab/>
      </w:r>
      <w:r w:rsidR="00C212F3" w:rsidRPr="00C35EF8">
        <w:rPr>
          <w:rFonts w:asciiTheme="minorHAnsi" w:hAnsiTheme="minorHAnsi"/>
          <w:sz w:val="22"/>
          <w:szCs w:val="22"/>
        </w:rPr>
        <w:tab/>
      </w:r>
      <w:r w:rsidRPr="00C35EF8">
        <w:rPr>
          <w:rFonts w:asciiTheme="minorHAnsi" w:hAnsiTheme="minorHAnsi"/>
          <w:sz w:val="22"/>
          <w:szCs w:val="22"/>
        </w:rPr>
        <w:t xml:space="preserve">I address these four questions together, as they all relate to the rule on damages.  </w:t>
      </w:r>
    </w:p>
    <w:p w:rsidR="00887906" w:rsidRPr="00C35EF8" w:rsidRDefault="00887906" w:rsidP="0003377F">
      <w:pPr>
        <w:pStyle w:val="ListParagraph"/>
        <w:ind w:hanging="360"/>
        <w:rPr>
          <w:rFonts w:asciiTheme="minorHAnsi" w:hAnsiTheme="minorHAnsi"/>
          <w:sz w:val="22"/>
          <w:szCs w:val="22"/>
        </w:rPr>
      </w:pPr>
    </w:p>
    <w:p w:rsidR="00887906" w:rsidRPr="00C35EF8" w:rsidRDefault="00C212F3" w:rsidP="0003377F">
      <w:pPr>
        <w:pStyle w:val="ListParagraph"/>
        <w:ind w:hanging="360"/>
        <w:rPr>
          <w:rFonts w:asciiTheme="minorHAnsi" w:hAnsiTheme="minorHAnsi"/>
          <w:sz w:val="22"/>
          <w:szCs w:val="22"/>
        </w:rPr>
      </w:pPr>
      <w:r w:rsidRPr="00C35EF8">
        <w:rPr>
          <w:rFonts w:asciiTheme="minorHAnsi" w:hAnsiTheme="minorHAnsi"/>
          <w:sz w:val="22"/>
          <w:szCs w:val="22"/>
        </w:rPr>
        <w:tab/>
      </w:r>
      <w:r w:rsidR="00887906" w:rsidRPr="00C35EF8">
        <w:rPr>
          <w:rFonts w:asciiTheme="minorHAnsi" w:hAnsiTheme="minorHAnsi"/>
          <w:sz w:val="22"/>
          <w:szCs w:val="22"/>
        </w:rPr>
        <w:tab/>
        <w:t xml:space="preserve">I am a strong believer in creating unitary rules that give courts the flexibility to treat different industries and business models differently in appropriate circumstances.  Indeed, I have published a book this week arguing for just such an approach.  </w:t>
      </w:r>
      <w:r w:rsidR="00887906" w:rsidRPr="00C35EF8">
        <w:rPr>
          <w:rFonts w:asciiTheme="minorHAnsi" w:hAnsiTheme="minorHAnsi"/>
          <w:b/>
          <w:sz w:val="22"/>
          <w:szCs w:val="22"/>
        </w:rPr>
        <w:t xml:space="preserve">Dan L. Burk &amp; Mark A. Lemley, </w:t>
      </w:r>
      <w:proofErr w:type="gramStart"/>
      <w:r w:rsidR="00887906" w:rsidRPr="00C35EF8">
        <w:rPr>
          <w:rFonts w:asciiTheme="minorHAnsi" w:hAnsiTheme="minorHAnsi"/>
          <w:b/>
          <w:sz w:val="22"/>
          <w:szCs w:val="22"/>
        </w:rPr>
        <w:t>The</w:t>
      </w:r>
      <w:proofErr w:type="gramEnd"/>
      <w:r w:rsidR="00887906" w:rsidRPr="00C35EF8">
        <w:rPr>
          <w:rFonts w:asciiTheme="minorHAnsi" w:hAnsiTheme="minorHAnsi"/>
          <w:b/>
          <w:sz w:val="22"/>
          <w:szCs w:val="22"/>
        </w:rPr>
        <w:t xml:space="preserve"> Patent Crisis and How the Courts Can Solve It</w:t>
      </w:r>
      <w:r w:rsidR="00887906" w:rsidRPr="00C35EF8">
        <w:rPr>
          <w:rFonts w:asciiTheme="minorHAnsi" w:hAnsiTheme="minorHAnsi"/>
          <w:sz w:val="22"/>
          <w:szCs w:val="22"/>
        </w:rPr>
        <w:t xml:space="preserve"> (Univ. Chicago Press 2009).  In the particular case of damages, I believe apportionment </w:t>
      </w:r>
      <w:r w:rsidR="00887906" w:rsidRPr="00C35EF8">
        <w:rPr>
          <w:rFonts w:asciiTheme="minorHAnsi" w:hAnsiTheme="minorHAnsi"/>
          <w:i/>
          <w:sz w:val="22"/>
          <w:szCs w:val="22"/>
        </w:rPr>
        <w:t>is</w:t>
      </w:r>
      <w:r w:rsidR="00887906" w:rsidRPr="00C35EF8">
        <w:rPr>
          <w:rFonts w:asciiTheme="minorHAnsi" w:hAnsiTheme="minorHAnsi"/>
          <w:sz w:val="22"/>
          <w:szCs w:val="22"/>
        </w:rPr>
        <w:t xml:space="preserve"> that middle ground.  It applies only to reasonable royalties, and as a result cannot hurt industries like pharmaceuticals that rely on lost profits damages.  And even within reasonable royalty cases, it applies only to industries like information technology that have significant apportionment issues.  </w:t>
      </w:r>
    </w:p>
    <w:p w:rsidR="00C212F3" w:rsidRPr="00C35EF8" w:rsidRDefault="00C212F3" w:rsidP="0003377F">
      <w:pPr>
        <w:pStyle w:val="ListParagraph"/>
        <w:ind w:hanging="360"/>
        <w:rPr>
          <w:rFonts w:asciiTheme="minorHAnsi" w:hAnsiTheme="minorHAnsi"/>
          <w:sz w:val="22"/>
          <w:szCs w:val="22"/>
        </w:rPr>
      </w:pPr>
    </w:p>
    <w:p w:rsidR="00C212F3" w:rsidRPr="00C35EF8" w:rsidRDefault="00C212F3" w:rsidP="0003377F">
      <w:pPr>
        <w:spacing w:after="0" w:line="240" w:lineRule="auto"/>
        <w:ind w:left="720" w:hanging="360"/>
      </w:pPr>
      <w:r w:rsidRPr="00C35EF8">
        <w:tab/>
      </w:r>
      <w:r w:rsidRPr="00C35EF8">
        <w:tab/>
      </w:r>
      <w:proofErr w:type="gramStart"/>
      <w:r w:rsidRPr="00C35EF8">
        <w:rPr>
          <w:u w:val="single"/>
        </w:rPr>
        <w:t>Georgia-Pacific factors</w:t>
      </w:r>
      <w:r w:rsidRPr="00C35EF8">
        <w:t>.</w:t>
      </w:r>
      <w:proofErr w:type="gramEnd"/>
      <w:r w:rsidRPr="00C35EF8">
        <w:t xml:space="preserve">  </w:t>
      </w:r>
      <w:r w:rsidR="006E3DE6" w:rsidRPr="00C35EF8">
        <w:t>Senator Feinstein’s</w:t>
      </w:r>
      <w:r w:rsidRPr="00C35EF8">
        <w:t xml:space="preserve"> “Discussion Draft Language on Damages,” dated March 10, 2009, would codify the fifteen well-known </w:t>
      </w:r>
      <w:r w:rsidRPr="00C35EF8">
        <w:rPr>
          <w:i/>
        </w:rPr>
        <w:t>Georgia-Pacific</w:t>
      </w:r>
      <w:r w:rsidRPr="00C35EF8">
        <w:t xml:space="preserve"> factors, and couple that codification with a procedural mechanism allowing district judges to identify in advance the factors supported by relevant evidence and to limit the jury’s consideration to only those factors.  </w:t>
      </w:r>
    </w:p>
    <w:p w:rsidR="00C212F3" w:rsidRPr="00C35EF8" w:rsidRDefault="006E3DE6" w:rsidP="0003377F">
      <w:pPr>
        <w:spacing w:after="0" w:line="240" w:lineRule="auto"/>
        <w:ind w:left="720" w:hanging="360"/>
      </w:pPr>
      <w:r w:rsidRPr="00C35EF8">
        <w:tab/>
      </w:r>
      <w:r w:rsidR="00C212F3" w:rsidRPr="00C35EF8">
        <w:tab/>
        <w:t xml:space="preserve">While I believe that such a “gatekeeper” rule would be some improvement on the current system, I do not think that, standing alone, it would solve the problems that result from the courts’ failure to apportion damages in reasonable royalty cases.  “Relevance” is a very broad standard in the law of evidence, and I expect that parties can find enough evidence to meet that threshold in most cases.  More important, the problem with the </w:t>
      </w:r>
      <w:r w:rsidR="00C212F3" w:rsidRPr="00C35EF8">
        <w:rPr>
          <w:i/>
        </w:rPr>
        <w:t>Georgia-Pacific</w:t>
      </w:r>
      <w:r w:rsidR="00C212F3" w:rsidRPr="00C35EF8">
        <w:t xml:space="preserve"> factors is that, by treating apportionment is merely one factor among 15, it discourages any focus on apportionment issues, instead leaving the jury largely to its own devices.  The Federal Circuit may go some way toward fixing this problem in the pending </w:t>
      </w:r>
      <w:r w:rsidR="00C212F3" w:rsidRPr="00C35EF8">
        <w:rPr>
          <w:i/>
        </w:rPr>
        <w:t>Alcatel v. Gateway</w:t>
      </w:r>
      <w:r w:rsidR="00C212F3" w:rsidRPr="00C35EF8">
        <w:t xml:space="preserve"> case this year; I urge Congress not to take action (such as codifying </w:t>
      </w:r>
      <w:r w:rsidR="00C212F3" w:rsidRPr="00C35EF8">
        <w:rPr>
          <w:i/>
        </w:rPr>
        <w:t>Georgia-Pacific</w:t>
      </w:r>
      <w:r w:rsidR="00C212F3" w:rsidRPr="00C35EF8">
        <w:t>) that might short-circuit that judicial process.</w:t>
      </w:r>
    </w:p>
    <w:p w:rsidR="00C212F3" w:rsidRPr="00C35EF8" w:rsidRDefault="006E3DE6" w:rsidP="0003377F">
      <w:pPr>
        <w:spacing w:after="0" w:line="240" w:lineRule="auto"/>
        <w:ind w:left="720" w:hanging="360"/>
      </w:pPr>
      <w:r w:rsidRPr="00C35EF8">
        <w:tab/>
      </w:r>
      <w:r w:rsidRPr="00C35EF8">
        <w:tab/>
      </w:r>
      <w:proofErr w:type="gramStart"/>
      <w:r w:rsidR="00C212F3" w:rsidRPr="00C35EF8">
        <w:rPr>
          <w:u w:val="single"/>
        </w:rPr>
        <w:t>Apportionment rule and procedures</w:t>
      </w:r>
      <w:r w:rsidR="00C212F3" w:rsidRPr="00C35EF8">
        <w:t>.</w:t>
      </w:r>
      <w:proofErr w:type="gramEnd"/>
      <w:r w:rsidR="00C212F3" w:rsidRPr="00C35EF8">
        <w:t xml:space="preserve">  A second “Discussion Draft Language on Damages,” this one dated April 7, 2007, includes similar procedural mechanisms for </w:t>
      </w:r>
      <w:proofErr w:type="spellStart"/>
      <w:r w:rsidR="00C212F3" w:rsidRPr="00C35EF8">
        <w:t>gatekeeping</w:t>
      </w:r>
      <w:proofErr w:type="spellEnd"/>
      <w:r w:rsidR="00C212F3" w:rsidRPr="00C35EF8">
        <w:t xml:space="preserve">, but makes it clear that in reasonable royalty (but not lost profits) cases, the royalty “shall reflect the economic value fairly attributable to the infringer’s use of the claimed invention.”  This language is, I think, a step in the right direction, because it incorporates the “apportionment principle” I discussed in my testimony.  However, I do worry that the phrase “the claimed invention” could be misinterpreted by courts to permit a patentee to claim damages based on well-known prior art features that are claimed in the invention, but which the patentee did not invent.  The inventor of the intermittent windshield wiper should be able to capture the value added by that wiper, but should not be able to capture a share of the value of the whole car merely by claiming the invention as “a car containing an intermittent windshield wiper.”  At the hearing, Senator Specter pressed the witnesses on precise language to include, and there seemed to be widespread agreement on basing a royalty calculation on the “value actually contributed by the patentee over </w:t>
      </w:r>
      <w:proofErr w:type="spellStart"/>
      <w:r w:rsidR="00C212F3" w:rsidRPr="00C35EF8">
        <w:t>noninfringing</w:t>
      </w:r>
      <w:proofErr w:type="spellEnd"/>
      <w:r w:rsidR="00C212F3" w:rsidRPr="00C35EF8">
        <w:t xml:space="preserve"> alternatives.”</w:t>
      </w:r>
    </w:p>
    <w:p w:rsidR="00C212F3" w:rsidRPr="00C35EF8" w:rsidRDefault="00C212F3" w:rsidP="0003377F">
      <w:pPr>
        <w:spacing w:after="0" w:line="240" w:lineRule="auto"/>
        <w:ind w:left="720" w:hanging="360"/>
      </w:pPr>
      <w:r w:rsidRPr="00C35EF8">
        <w:lastRenderedPageBreak/>
        <w:tab/>
        <w:t>The April 2007 discussion draft also includes language permitting evidence regarding the entire market value rule and convoyed sales.  As I indicated at the hearing, and in the article I attached to my testimony, I think that evidence of the defendant’s sales of unpatented components makes sense in the context of lost profits, but has no place in a reasonable royalty analysis.  I would modify the last sentence of section (a)(1) by changing the opening phrase to read “In determining lost profits damages,” thus making it clear that the statutory change is not intended to lock the entire market value rule into reasonable royalty calculations, where patentees would be paid for value they did not contribute.</w:t>
      </w:r>
    </w:p>
    <w:p w:rsidR="00C212F3" w:rsidRPr="00C35EF8" w:rsidRDefault="006E3DE6" w:rsidP="0003377F">
      <w:pPr>
        <w:pStyle w:val="ListParagraph"/>
        <w:ind w:hanging="360"/>
        <w:rPr>
          <w:rFonts w:asciiTheme="minorHAnsi" w:hAnsiTheme="minorHAnsi"/>
          <w:sz w:val="22"/>
          <w:szCs w:val="22"/>
        </w:rPr>
      </w:pPr>
      <w:r w:rsidRPr="00C35EF8">
        <w:rPr>
          <w:rFonts w:asciiTheme="minorHAnsi" w:hAnsiTheme="minorHAnsi"/>
          <w:sz w:val="22"/>
          <w:szCs w:val="22"/>
        </w:rPr>
        <w:tab/>
      </w:r>
      <w:r w:rsidRPr="00C35EF8">
        <w:rPr>
          <w:rFonts w:asciiTheme="minorHAnsi" w:hAnsiTheme="minorHAnsi"/>
          <w:sz w:val="22"/>
          <w:szCs w:val="22"/>
        </w:rPr>
        <w:tab/>
        <w:t xml:space="preserve">Finally, on the question of whether we can just leave damages out of the bill, I am reluctant to do so.  The lack of apportionment is the key remaining problem of patent abuse in courts today.  It is possible that the Federal Circuit or the Supreme Court will solve that problem in </w:t>
      </w:r>
      <w:r w:rsidRPr="00C35EF8">
        <w:rPr>
          <w:rFonts w:asciiTheme="minorHAnsi" w:hAnsiTheme="minorHAnsi"/>
          <w:i/>
          <w:sz w:val="22"/>
          <w:szCs w:val="22"/>
        </w:rPr>
        <w:t>Lucent v. Gateway</w:t>
      </w:r>
      <w:r w:rsidRPr="00C35EF8">
        <w:rPr>
          <w:rFonts w:asciiTheme="minorHAnsi" w:hAnsiTheme="minorHAnsi"/>
          <w:sz w:val="22"/>
          <w:szCs w:val="22"/>
        </w:rPr>
        <w:t>, but we cannot count on that happening.  And if it doesn’t, I fear that Congress might not return to patent reform for many years.</w:t>
      </w:r>
    </w:p>
    <w:p w:rsidR="00887906" w:rsidRPr="00C35EF8" w:rsidRDefault="00887906" w:rsidP="0003377F">
      <w:pPr>
        <w:pStyle w:val="ListParagraph"/>
        <w:ind w:hanging="360"/>
        <w:rPr>
          <w:rFonts w:asciiTheme="minorHAnsi" w:hAnsiTheme="minorHAnsi"/>
          <w:sz w:val="22"/>
          <w:szCs w:val="22"/>
        </w:rPr>
      </w:pPr>
    </w:p>
    <w:p w:rsidR="00887906" w:rsidRPr="00C35EF8" w:rsidRDefault="00887906" w:rsidP="0003377F">
      <w:pPr>
        <w:pStyle w:val="ListParagraph"/>
        <w:ind w:hanging="360"/>
        <w:rPr>
          <w:rFonts w:asciiTheme="minorHAnsi" w:hAnsiTheme="minorHAnsi"/>
          <w:sz w:val="22"/>
          <w:szCs w:val="22"/>
        </w:rPr>
      </w:pPr>
    </w:p>
    <w:p w:rsidR="00AC222C" w:rsidRPr="00C35EF8" w:rsidRDefault="007F5809" w:rsidP="0003377F">
      <w:pPr>
        <w:numPr>
          <w:ilvl w:val="0"/>
          <w:numId w:val="1"/>
        </w:numPr>
        <w:spacing w:after="0" w:line="240" w:lineRule="auto"/>
        <w:rPr>
          <w:i/>
        </w:rPr>
      </w:pPr>
      <w:r w:rsidRPr="00C35EF8">
        <w:rPr>
          <w:i/>
        </w:rPr>
        <w:t>Last year, my office heard that many of the stakeholders preferred the House approach on post-grant review.  Do you support this</w:t>
      </w:r>
      <w:r w:rsidR="00AC222C" w:rsidRPr="00C35EF8">
        <w:rPr>
          <w:i/>
        </w:rPr>
        <w:t xml:space="preserve"> new language?  If not, why not?</w:t>
      </w:r>
    </w:p>
    <w:p w:rsidR="00AC222C" w:rsidRPr="00C35EF8" w:rsidRDefault="00AC222C" w:rsidP="0003377F">
      <w:pPr>
        <w:spacing w:after="0" w:line="240" w:lineRule="auto"/>
        <w:ind w:left="720"/>
        <w:rPr>
          <w:i/>
        </w:rPr>
      </w:pPr>
    </w:p>
    <w:p w:rsidR="00AC222C" w:rsidRPr="00C35EF8" w:rsidRDefault="00AC222C" w:rsidP="0003377F">
      <w:pPr>
        <w:spacing w:after="0" w:line="240" w:lineRule="auto"/>
        <w:ind w:left="720" w:hanging="720"/>
      </w:pPr>
      <w:r w:rsidRPr="00C35EF8">
        <w:rPr>
          <w:i/>
        </w:rPr>
        <w:tab/>
      </w:r>
      <w:r w:rsidRPr="00C35EF8">
        <w:rPr>
          <w:i/>
        </w:rPr>
        <w:tab/>
      </w:r>
      <w:r w:rsidRPr="00C35EF8">
        <w:t xml:space="preserve">As I indicated in my written testimony, I think post-grant opposition will be effective only if it includes a “second window” for addressing newly-relevant patents.  </w:t>
      </w:r>
    </w:p>
    <w:p w:rsidR="00AC222C" w:rsidRPr="00C35EF8" w:rsidRDefault="00AC222C" w:rsidP="0003377F">
      <w:pPr>
        <w:spacing w:after="0" w:line="240" w:lineRule="auto"/>
        <w:ind w:left="720" w:hanging="360"/>
      </w:pPr>
    </w:p>
    <w:p w:rsidR="007F5809" w:rsidRPr="00C35EF8" w:rsidRDefault="007F5809" w:rsidP="0003377F">
      <w:pPr>
        <w:numPr>
          <w:ilvl w:val="0"/>
          <w:numId w:val="1"/>
        </w:numPr>
        <w:spacing w:after="0" w:line="240" w:lineRule="auto"/>
        <w:rPr>
          <w:i/>
        </w:rPr>
      </w:pPr>
      <w:r w:rsidRPr="00C35EF8">
        <w:rPr>
          <w:i/>
        </w:rPr>
        <w:t xml:space="preserve">Do you believe the PTO can handle additional responsibilities of a revised administrative review without there being a negative impact on its ability to process applications?  Are you concerned that this will only exacerbate the problem of patents being issued that should not be issued? </w:t>
      </w:r>
    </w:p>
    <w:p w:rsidR="007F5809" w:rsidRPr="00C35EF8" w:rsidRDefault="007F5809" w:rsidP="0003377F">
      <w:pPr>
        <w:pStyle w:val="ListParagraph"/>
        <w:ind w:hanging="360"/>
        <w:rPr>
          <w:rFonts w:asciiTheme="minorHAnsi" w:hAnsiTheme="minorHAnsi"/>
          <w:sz w:val="22"/>
          <w:szCs w:val="22"/>
        </w:rPr>
      </w:pPr>
    </w:p>
    <w:p w:rsidR="00EC713C" w:rsidRPr="00C35EF8" w:rsidRDefault="00AC222C" w:rsidP="0003377F">
      <w:pPr>
        <w:pStyle w:val="ListParagraph"/>
        <w:ind w:hanging="360"/>
        <w:rPr>
          <w:rFonts w:asciiTheme="minorHAnsi" w:hAnsiTheme="minorHAnsi"/>
          <w:sz w:val="22"/>
          <w:szCs w:val="22"/>
        </w:rPr>
      </w:pPr>
      <w:r w:rsidRPr="00C35EF8">
        <w:rPr>
          <w:rFonts w:asciiTheme="minorHAnsi" w:hAnsiTheme="minorHAnsi"/>
          <w:sz w:val="22"/>
          <w:szCs w:val="22"/>
        </w:rPr>
        <w:tab/>
      </w:r>
      <w:r w:rsidRPr="00C35EF8">
        <w:rPr>
          <w:rFonts w:asciiTheme="minorHAnsi" w:hAnsiTheme="minorHAnsi"/>
          <w:sz w:val="22"/>
          <w:szCs w:val="22"/>
        </w:rPr>
        <w:tab/>
        <w:t xml:space="preserve">I believe </w:t>
      </w:r>
      <w:r w:rsidR="00EC713C" w:rsidRPr="00C35EF8">
        <w:rPr>
          <w:rFonts w:asciiTheme="minorHAnsi" w:hAnsiTheme="minorHAnsi"/>
          <w:sz w:val="22"/>
          <w:szCs w:val="22"/>
        </w:rPr>
        <w:t>the PTO can handle the burden of post-grant opposition, assuming that it is adequately funded.  The PTO has an experienced cadre of trial judges at the Board of Patent Appeals and Interferences who will no longer be required to hear interference disputes once first-inventor-to-file is in force.  It makes sense to use those judges to hear post-grant opposition cases.  If those judges, rather than existing examiners, hear post-grant opposition cases, the process will not take examiner time, and so should not exacerbate the problem of bad patents.</w:t>
      </w:r>
    </w:p>
    <w:p w:rsidR="00EC713C" w:rsidRPr="00C35EF8" w:rsidRDefault="00EC713C" w:rsidP="0003377F">
      <w:pPr>
        <w:pStyle w:val="ListParagraph"/>
        <w:ind w:hanging="360"/>
        <w:rPr>
          <w:rFonts w:asciiTheme="minorHAnsi" w:hAnsiTheme="minorHAnsi"/>
          <w:sz w:val="22"/>
          <w:szCs w:val="22"/>
        </w:rPr>
      </w:pPr>
    </w:p>
    <w:p w:rsidR="00AC222C" w:rsidRPr="00C35EF8" w:rsidRDefault="00AC222C" w:rsidP="0003377F">
      <w:pPr>
        <w:pStyle w:val="ListParagraph"/>
        <w:ind w:hanging="360"/>
        <w:rPr>
          <w:rFonts w:asciiTheme="minorHAnsi" w:hAnsiTheme="minorHAnsi"/>
          <w:sz w:val="22"/>
          <w:szCs w:val="22"/>
        </w:rPr>
      </w:pPr>
    </w:p>
    <w:p w:rsidR="007F5809" w:rsidRPr="00C35EF8" w:rsidRDefault="007F5809" w:rsidP="0003377F">
      <w:pPr>
        <w:numPr>
          <w:ilvl w:val="0"/>
          <w:numId w:val="1"/>
        </w:numPr>
        <w:spacing w:after="0" w:line="240" w:lineRule="auto"/>
      </w:pPr>
      <w:r w:rsidRPr="00C35EF8">
        <w:t>What is needed to address the backlog at PTO?</w:t>
      </w:r>
    </w:p>
    <w:p w:rsidR="00EC713C" w:rsidRPr="00C35EF8" w:rsidRDefault="00EC713C" w:rsidP="0003377F">
      <w:pPr>
        <w:spacing w:after="0" w:line="240" w:lineRule="auto"/>
        <w:ind w:left="720"/>
      </w:pPr>
    </w:p>
    <w:p w:rsidR="00EC713C" w:rsidRPr="00C35EF8" w:rsidRDefault="009A01EC" w:rsidP="0003377F">
      <w:pPr>
        <w:spacing w:after="0" w:line="240" w:lineRule="auto"/>
        <w:ind w:left="720"/>
      </w:pPr>
      <w:r w:rsidRPr="00C35EF8">
        <w:tab/>
        <w:t xml:space="preserve">This is a complex problem.  </w:t>
      </w:r>
      <w:r w:rsidR="006B12B6" w:rsidRPr="00C35EF8">
        <w:t>I think a number of different things are required, including limits on continuation applications, changes in the way patent examiners are rewarded and in the way cases are allocated, information submission by third parties, two-tiered patent prosecution of the kind I mentioned above, the ability to raise application and maintenance fees, work-sharing with foreign patent offices, and possibly some form of deferred examination system.   Some of these are things Congress can mandate, or at least facilitate, but many are things that will have to be solved within the PTO.</w:t>
      </w:r>
    </w:p>
    <w:p w:rsidR="006B12B6" w:rsidRPr="00C35EF8" w:rsidRDefault="006B12B6" w:rsidP="0003377F">
      <w:pPr>
        <w:spacing w:after="0" w:line="240" w:lineRule="auto"/>
        <w:ind w:left="720"/>
      </w:pPr>
    </w:p>
    <w:p w:rsidR="006B12B6" w:rsidRPr="00C35EF8" w:rsidRDefault="006B12B6" w:rsidP="0003377F">
      <w:pPr>
        <w:spacing w:after="0" w:line="240" w:lineRule="auto"/>
        <w:ind w:left="720"/>
      </w:pPr>
    </w:p>
    <w:p w:rsidR="006B12B6" w:rsidRPr="00C35EF8" w:rsidRDefault="006B12B6" w:rsidP="0003377F">
      <w:pPr>
        <w:spacing w:after="0" w:line="240" w:lineRule="auto"/>
        <w:ind w:left="720"/>
      </w:pPr>
    </w:p>
    <w:p w:rsidR="00C35EF8" w:rsidRPr="00C35EF8" w:rsidRDefault="00C35EF8" w:rsidP="0003377F">
      <w:pPr>
        <w:spacing w:after="0" w:line="240" w:lineRule="auto"/>
        <w:ind w:left="720"/>
        <w:rPr>
          <w:b/>
          <w:bCs/>
        </w:rPr>
      </w:pPr>
      <w:r w:rsidRPr="00C35EF8">
        <w:rPr>
          <w:b/>
          <w:bCs/>
          <w:u w:val="single"/>
        </w:rPr>
        <w:t>Question</w:t>
      </w:r>
      <w:r w:rsidR="003C02F6">
        <w:rPr>
          <w:b/>
          <w:bCs/>
          <w:u w:val="single"/>
        </w:rPr>
        <w:t>s</w:t>
      </w:r>
      <w:r w:rsidRPr="00C35EF8">
        <w:rPr>
          <w:b/>
          <w:bCs/>
          <w:u w:val="single"/>
        </w:rPr>
        <w:t xml:space="preserve"> from Senator Hatch</w:t>
      </w:r>
    </w:p>
    <w:p w:rsidR="00C35EF8" w:rsidRPr="00281553" w:rsidRDefault="0003377F" w:rsidP="0003377F">
      <w:pPr>
        <w:pStyle w:val="ListParagraph"/>
        <w:numPr>
          <w:ilvl w:val="0"/>
          <w:numId w:val="2"/>
        </w:numPr>
        <w:ind w:left="720"/>
        <w:rPr>
          <w:i/>
        </w:rPr>
      </w:pPr>
      <w:r>
        <w:rPr>
          <w:i/>
        </w:rPr>
        <w:tab/>
      </w:r>
      <w:r w:rsidR="00C35EF8" w:rsidRPr="00281553">
        <w:rPr>
          <w:i/>
        </w:rPr>
        <w:t xml:space="preserve">More than ever, I believe we need to discourage weak cases from clogging our judicial system.  I believe we should strengthen the current attorney fee provision in the </w:t>
      </w:r>
      <w:r w:rsidR="00C35EF8" w:rsidRPr="00281553">
        <w:rPr>
          <w:i/>
        </w:rPr>
        <w:lastRenderedPageBreak/>
        <w:t xml:space="preserve">Patent Code, which currently allows reasonable attorney’s fees in </w:t>
      </w:r>
      <w:r w:rsidR="00C35EF8" w:rsidRPr="00281553">
        <w:rPr>
          <w:i/>
          <w:iCs/>
        </w:rPr>
        <w:t xml:space="preserve">exceptional </w:t>
      </w:r>
      <w:r w:rsidR="00C35EF8" w:rsidRPr="00281553">
        <w:rPr>
          <w:i/>
        </w:rPr>
        <w:t xml:space="preserve">cases.  Section 505 of the Copyright Statute gives courts the </w:t>
      </w:r>
      <w:r w:rsidR="00C35EF8" w:rsidRPr="00281553">
        <w:rPr>
          <w:i/>
          <w:iCs/>
        </w:rPr>
        <w:t xml:space="preserve">discretion </w:t>
      </w:r>
      <w:r w:rsidR="00C35EF8" w:rsidRPr="00281553">
        <w:rPr>
          <w:i/>
        </w:rPr>
        <w:t xml:space="preserve">to award reasonable attorney’s fees to the prevailing party. </w:t>
      </w:r>
    </w:p>
    <w:p w:rsidR="00281553" w:rsidRPr="00C35EF8" w:rsidRDefault="00281553" w:rsidP="0003377F">
      <w:pPr>
        <w:spacing w:after="0" w:line="240" w:lineRule="auto"/>
        <w:ind w:left="720"/>
        <w:rPr>
          <w:i/>
        </w:rPr>
      </w:pPr>
      <w:r>
        <w:rPr>
          <w:i/>
        </w:rPr>
        <w:tab/>
      </w:r>
      <w:r w:rsidR="00C35EF8" w:rsidRPr="00C35EF8">
        <w:rPr>
          <w:i/>
        </w:rPr>
        <w:t xml:space="preserve">What are your thoughts on incorporating attorney’s fee language, similar to the Copyright Act, into the Patent Code? </w:t>
      </w:r>
    </w:p>
    <w:p w:rsidR="00C35EF8" w:rsidRDefault="0003377F" w:rsidP="0003377F">
      <w:pPr>
        <w:spacing w:after="0" w:line="240" w:lineRule="auto"/>
        <w:ind w:left="720"/>
        <w:rPr>
          <w:i/>
        </w:rPr>
      </w:pPr>
      <w:r>
        <w:rPr>
          <w:i/>
        </w:rPr>
        <w:tab/>
      </w:r>
      <w:r w:rsidR="00C35EF8" w:rsidRPr="00C35EF8">
        <w:rPr>
          <w:i/>
        </w:rPr>
        <w:t xml:space="preserve">Do you think this would have any kind of deterrent effect on weeding out weak claims? </w:t>
      </w:r>
    </w:p>
    <w:p w:rsidR="00281553" w:rsidRPr="00C35EF8" w:rsidRDefault="00281553" w:rsidP="0003377F">
      <w:pPr>
        <w:spacing w:after="0" w:line="240" w:lineRule="auto"/>
        <w:ind w:left="720"/>
        <w:rPr>
          <w:i/>
        </w:rPr>
      </w:pPr>
    </w:p>
    <w:p w:rsidR="006B12B6" w:rsidRPr="00C35EF8" w:rsidRDefault="00C35EF8" w:rsidP="0003377F">
      <w:pPr>
        <w:spacing w:after="0" w:line="240" w:lineRule="auto"/>
        <w:ind w:left="720"/>
      </w:pPr>
      <w:r>
        <w:tab/>
      </w:r>
      <w:r w:rsidRPr="00C35EF8">
        <w:t xml:space="preserve">I support this proposal.  Even-handed fee shifting has worked well in the Copyright Act, allowing </w:t>
      </w:r>
      <w:r w:rsidR="003B1B73">
        <w:t>both plaintiffs and defendants to be adequately compensated for the expenses they incurred in defeating weak claims or defenses.  I do think that fee-shifting should not be automatic.  Rather, as it is in the Copyright Act, it should be within the discretion of the district court to award fees, with a focus on weak claims or weak defenses.</w:t>
      </w:r>
    </w:p>
    <w:p w:rsidR="007F5809" w:rsidRDefault="007F5809" w:rsidP="0003377F">
      <w:pPr>
        <w:spacing w:after="0" w:line="240" w:lineRule="auto"/>
        <w:ind w:left="720" w:hanging="360"/>
        <w:rPr>
          <w:i/>
        </w:rPr>
      </w:pPr>
    </w:p>
    <w:p w:rsidR="00281553" w:rsidRPr="00C35EF8" w:rsidRDefault="00281553" w:rsidP="0003377F">
      <w:pPr>
        <w:spacing w:after="0" w:line="240" w:lineRule="auto"/>
        <w:ind w:left="720" w:hanging="360"/>
        <w:rPr>
          <w:i/>
        </w:rPr>
      </w:pPr>
    </w:p>
    <w:p w:rsidR="00281553" w:rsidRPr="00281553" w:rsidRDefault="0003377F" w:rsidP="0003377F">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heme="minorHAnsi" w:hAnsiTheme="minorHAnsi"/>
          <w:i/>
          <w:sz w:val="22"/>
          <w:szCs w:val="22"/>
        </w:rPr>
      </w:pPr>
      <w:r>
        <w:rPr>
          <w:rFonts w:asciiTheme="minorHAnsi" w:hAnsiTheme="minorHAnsi"/>
          <w:i/>
          <w:sz w:val="22"/>
          <w:szCs w:val="22"/>
        </w:rPr>
        <w:tab/>
      </w:r>
      <w:r w:rsidR="00281553" w:rsidRPr="00281553">
        <w:rPr>
          <w:rFonts w:asciiTheme="minorHAnsi" w:hAnsiTheme="minorHAnsi"/>
          <w:i/>
          <w:sz w:val="22"/>
          <w:szCs w:val="22"/>
        </w:rPr>
        <w:t xml:space="preserve">In this current fiscally difficult climate, is there something more that we could do to keep our patent system strong?  As you know, people either are not filing or choosing not to prosecute existing patent applications.  </w:t>
      </w:r>
    </w:p>
    <w:p w:rsidR="00281553" w:rsidRPr="00281553" w:rsidRDefault="0003377F" w:rsidP="000337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i/>
        </w:rPr>
      </w:pPr>
      <w:r>
        <w:rPr>
          <w:i/>
        </w:rPr>
        <w:tab/>
      </w:r>
      <w:r w:rsidR="00281553" w:rsidRPr="00281553">
        <w:rPr>
          <w:i/>
        </w:rPr>
        <w:t xml:space="preserve">I don’t need to tell you what that does to the revenue stream at the USPTO, and consequently, what impact that will have on our economy. </w:t>
      </w:r>
    </w:p>
    <w:p w:rsidR="00281553" w:rsidRPr="00281553" w:rsidRDefault="0003377F" w:rsidP="000337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i/>
        </w:rPr>
      </w:pPr>
      <w:r>
        <w:rPr>
          <w:i/>
        </w:rPr>
        <w:tab/>
      </w:r>
      <w:r w:rsidR="00281553" w:rsidRPr="00281553">
        <w:rPr>
          <w:i/>
        </w:rPr>
        <w:t xml:space="preserve">What are your thoughts on restoring the USPTO with monies that were lost due to the past practice of fee diversion?  </w:t>
      </w:r>
    </w:p>
    <w:p w:rsidR="00281553" w:rsidRPr="00281553" w:rsidRDefault="0003377F" w:rsidP="000337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i/>
        </w:rPr>
      </w:pPr>
      <w:r>
        <w:rPr>
          <w:i/>
        </w:rPr>
        <w:tab/>
      </w:r>
      <w:r w:rsidR="00281553" w:rsidRPr="00281553">
        <w:rPr>
          <w:i/>
        </w:rPr>
        <w:t>Wouldn’t that send a strong signal that our country recognizes the vital role that IP and research and development play for all sectors of our economy?</w:t>
      </w:r>
    </w:p>
    <w:p w:rsidR="00EC713C" w:rsidRPr="00281553" w:rsidRDefault="00281553" w:rsidP="0003377F">
      <w:pPr>
        <w:spacing w:after="0" w:line="240" w:lineRule="auto"/>
        <w:ind w:left="720" w:hanging="360"/>
        <w:rPr>
          <w:i/>
        </w:rPr>
      </w:pPr>
      <w:r w:rsidRPr="00281553">
        <w:rPr>
          <w:i/>
        </w:rPr>
        <w:tab/>
        <w:t>What are your thoughts?</w:t>
      </w:r>
      <w:r>
        <w:rPr>
          <w:i/>
        </w:rPr>
        <w:br/>
      </w:r>
    </w:p>
    <w:p w:rsidR="005A1B4A" w:rsidRDefault="00281553" w:rsidP="0003377F">
      <w:pPr>
        <w:spacing w:after="0" w:line="240" w:lineRule="auto"/>
        <w:ind w:left="720" w:hanging="360"/>
      </w:pPr>
      <w:r>
        <w:tab/>
      </w:r>
      <w:r>
        <w:tab/>
        <w:t xml:space="preserve">I support legislation that would end fee diversion.  The PTO needs adequate resources to cope with the growing backlog without giving in to applicant demands and allowing bad patents.  </w:t>
      </w:r>
    </w:p>
    <w:p w:rsidR="00AA37D1" w:rsidRDefault="00AA37D1" w:rsidP="0003377F">
      <w:pPr>
        <w:spacing w:after="0" w:line="240" w:lineRule="auto"/>
        <w:ind w:left="720" w:hanging="360"/>
      </w:pPr>
    </w:p>
    <w:p w:rsidR="003C02F6" w:rsidRDefault="003C02F6" w:rsidP="0003377F">
      <w:pPr>
        <w:spacing w:after="0" w:line="240" w:lineRule="auto"/>
        <w:ind w:left="720" w:hanging="360"/>
      </w:pPr>
    </w:p>
    <w:p w:rsidR="003C02F6" w:rsidRDefault="003C02F6" w:rsidP="0003377F">
      <w:pPr>
        <w:spacing w:after="0" w:line="240" w:lineRule="auto"/>
        <w:ind w:left="720" w:hanging="360"/>
        <w:rPr>
          <w:b/>
          <w:u w:val="single"/>
        </w:rPr>
      </w:pPr>
      <w:r w:rsidRPr="003C02F6">
        <w:rPr>
          <w:b/>
          <w:u w:val="single"/>
        </w:rPr>
        <w:t>Questions from Senator Coburn</w:t>
      </w:r>
    </w:p>
    <w:p w:rsidR="0003377F" w:rsidRPr="003C02F6" w:rsidRDefault="0003377F" w:rsidP="0003377F">
      <w:pPr>
        <w:spacing w:after="0" w:line="240" w:lineRule="auto"/>
        <w:ind w:left="720" w:hanging="360"/>
      </w:pPr>
    </w:p>
    <w:p w:rsidR="003C02F6" w:rsidRPr="0003377F" w:rsidRDefault="003C02F6" w:rsidP="0003377F">
      <w:pPr>
        <w:spacing w:after="0" w:line="240" w:lineRule="auto"/>
        <w:ind w:left="720"/>
        <w:rPr>
          <w:i/>
        </w:rPr>
      </w:pPr>
      <w:r w:rsidRPr="0003377F">
        <w:rPr>
          <w:i/>
        </w:rPr>
        <w:t xml:space="preserve">1.  S. 1145, the precursor to S. 515 (the Patent Reform Act of 2009) included Section 15, which would have provided for a legislative end to diversion of USPTO user fees.  Do you and the organization you represent support the concept of a permanent end to USPTO fee diversion?  </w:t>
      </w:r>
    </w:p>
    <w:p w:rsidR="003C02F6" w:rsidRDefault="003C02F6" w:rsidP="0003377F">
      <w:pPr>
        <w:spacing w:after="0" w:line="240" w:lineRule="auto"/>
        <w:ind w:left="720"/>
      </w:pPr>
    </w:p>
    <w:p w:rsidR="0003377F" w:rsidRDefault="0003377F" w:rsidP="0003377F">
      <w:pPr>
        <w:spacing w:after="0" w:line="240" w:lineRule="auto"/>
        <w:ind w:left="720"/>
      </w:pPr>
      <w:r>
        <w:tab/>
        <w:t>I support legislation that would end fee diversion.  The PTO needs adequate resources to cope with the growing backlog without giving in to applicant demands and allowing bad patents.</w:t>
      </w:r>
    </w:p>
    <w:p w:rsidR="0003377F" w:rsidRDefault="0003377F" w:rsidP="0003377F">
      <w:pPr>
        <w:spacing w:after="0" w:line="240" w:lineRule="auto"/>
        <w:ind w:left="720"/>
      </w:pPr>
    </w:p>
    <w:p w:rsidR="0003377F" w:rsidRPr="003C02F6" w:rsidRDefault="0003377F" w:rsidP="0003377F">
      <w:pPr>
        <w:spacing w:after="0" w:line="240" w:lineRule="auto"/>
        <w:ind w:left="720"/>
      </w:pPr>
    </w:p>
    <w:p w:rsidR="003C02F6" w:rsidRPr="0003377F" w:rsidRDefault="003C02F6" w:rsidP="0003377F">
      <w:pPr>
        <w:spacing w:after="0" w:line="240" w:lineRule="auto"/>
        <w:ind w:left="720"/>
        <w:rPr>
          <w:i/>
        </w:rPr>
      </w:pPr>
      <w:r w:rsidRPr="0003377F">
        <w:rPr>
          <w:i/>
        </w:rPr>
        <w:t xml:space="preserve">2.  If the answer to question #1 was generally “yes,” do you and the organization you represent support a provision like Section 15 to also be added to S. 515?  </w:t>
      </w:r>
    </w:p>
    <w:p w:rsidR="003C02F6" w:rsidRDefault="003C02F6" w:rsidP="0003377F">
      <w:pPr>
        <w:spacing w:after="0" w:line="240" w:lineRule="auto"/>
        <w:ind w:left="720"/>
      </w:pPr>
    </w:p>
    <w:p w:rsidR="0003377F" w:rsidRDefault="0003377F" w:rsidP="0003377F">
      <w:pPr>
        <w:spacing w:after="0" w:line="240" w:lineRule="auto"/>
        <w:ind w:left="720"/>
      </w:pPr>
      <w:r>
        <w:tab/>
        <w:t>Yes.</w:t>
      </w:r>
    </w:p>
    <w:p w:rsidR="0003377F" w:rsidRDefault="0003377F" w:rsidP="0003377F">
      <w:pPr>
        <w:spacing w:after="0" w:line="240" w:lineRule="auto"/>
        <w:ind w:left="720"/>
      </w:pPr>
    </w:p>
    <w:p w:rsidR="0003377F" w:rsidRPr="003C02F6" w:rsidRDefault="0003377F" w:rsidP="0003377F">
      <w:pPr>
        <w:spacing w:after="0" w:line="240" w:lineRule="auto"/>
        <w:ind w:left="720"/>
      </w:pPr>
    </w:p>
    <w:p w:rsidR="003C02F6" w:rsidRPr="0003377F" w:rsidRDefault="003C02F6" w:rsidP="0003377F">
      <w:pPr>
        <w:spacing w:after="0" w:line="240" w:lineRule="auto"/>
        <w:ind w:left="720"/>
        <w:rPr>
          <w:i/>
        </w:rPr>
      </w:pPr>
      <w:proofErr w:type="gramStart"/>
      <w:r w:rsidRPr="0003377F">
        <w:rPr>
          <w:i/>
        </w:rPr>
        <w:lastRenderedPageBreak/>
        <w:t>3.  Section 15 of S. 1145, mentioned above, included the following accountability and transparency provisions:  Section 15(d) Annual Report, Section 15(e) Annual Spending Plan, Section 15(f) Annual Audit, and Section 15(g) Annual Budget.</w:t>
      </w:r>
      <w:proofErr w:type="gramEnd"/>
      <w:r w:rsidRPr="0003377F">
        <w:rPr>
          <w:i/>
        </w:rPr>
        <w:t xml:space="preserve">  Do you believe that the aforementioned provisions provide adequate accountability and transparency so that you and your colleagues in your related field will have enough information to review PTO management of your fees and alert Congress with concerns?  If not, what other accountability and transparency provisions do you think should be added?</w:t>
      </w:r>
    </w:p>
    <w:p w:rsidR="003C02F6" w:rsidRDefault="003C02F6" w:rsidP="0003377F">
      <w:pPr>
        <w:spacing w:after="0" w:line="240" w:lineRule="auto"/>
        <w:ind w:left="720"/>
      </w:pPr>
    </w:p>
    <w:p w:rsidR="0003377F" w:rsidRDefault="0003377F" w:rsidP="0003377F">
      <w:pPr>
        <w:spacing w:after="0" w:line="240" w:lineRule="auto"/>
        <w:ind w:left="720"/>
      </w:pPr>
      <w:r>
        <w:tab/>
        <w:t>This is not my area of expertise, and I will defer to others on this issue.</w:t>
      </w:r>
    </w:p>
    <w:p w:rsidR="0003377F" w:rsidRDefault="0003377F" w:rsidP="0003377F">
      <w:pPr>
        <w:spacing w:after="0" w:line="240" w:lineRule="auto"/>
        <w:ind w:left="720"/>
      </w:pPr>
    </w:p>
    <w:p w:rsidR="0003377F" w:rsidRPr="003C02F6" w:rsidRDefault="0003377F" w:rsidP="0003377F">
      <w:pPr>
        <w:spacing w:after="0" w:line="240" w:lineRule="auto"/>
        <w:ind w:left="720"/>
      </w:pPr>
    </w:p>
    <w:p w:rsidR="003C02F6" w:rsidRPr="0003377F" w:rsidRDefault="003C02F6" w:rsidP="0003377F">
      <w:pPr>
        <w:spacing w:after="0" w:line="240" w:lineRule="auto"/>
        <w:ind w:left="720"/>
        <w:rPr>
          <w:i/>
        </w:rPr>
      </w:pPr>
      <w:r w:rsidRPr="0003377F">
        <w:rPr>
          <w:i/>
        </w:rPr>
        <w:t xml:space="preserve">4.  This bill is a big fight about winners and losers and there are high stakes involved.  How does Congress strike the proper balance to protect intellectual property but also protect the ability to create innovative products and industries?   </w:t>
      </w:r>
    </w:p>
    <w:p w:rsidR="003C02F6" w:rsidRDefault="003C02F6" w:rsidP="0003377F">
      <w:pPr>
        <w:spacing w:after="0" w:line="240" w:lineRule="auto"/>
        <w:ind w:left="720"/>
      </w:pPr>
    </w:p>
    <w:p w:rsidR="0003377F" w:rsidRPr="003E53D2" w:rsidRDefault="0003377F" w:rsidP="0003377F">
      <w:pPr>
        <w:spacing w:after="0" w:line="240" w:lineRule="auto"/>
        <w:ind w:left="720"/>
      </w:pPr>
      <w:r>
        <w:tab/>
      </w:r>
      <w:r w:rsidR="003E53D2">
        <w:t xml:space="preserve">This is </w:t>
      </w:r>
      <w:r w:rsidR="003E53D2">
        <w:rPr>
          <w:i/>
        </w:rPr>
        <w:t>the</w:t>
      </w:r>
      <w:r w:rsidR="003E53D2">
        <w:t xml:space="preserve"> hard problem in patent law.  I think the patent system generally does a good job of balancing between initial inventors, who want strong patent protection, and improvers, who want freedom from undue constraint.  I think the major exception to that adequate balance today is in the area of damages, where the system is out of balance in favor of patent owners.  S. 515 would help set that balance right.  </w:t>
      </w:r>
    </w:p>
    <w:p w:rsidR="003E53D2" w:rsidRDefault="003E53D2" w:rsidP="0003377F">
      <w:pPr>
        <w:spacing w:after="0" w:line="240" w:lineRule="auto"/>
        <w:ind w:left="720"/>
      </w:pPr>
    </w:p>
    <w:p w:rsidR="0003377F" w:rsidRPr="003C02F6" w:rsidRDefault="0003377F" w:rsidP="0003377F">
      <w:pPr>
        <w:spacing w:after="0" w:line="240" w:lineRule="auto"/>
        <w:ind w:left="720"/>
      </w:pPr>
    </w:p>
    <w:p w:rsidR="003C02F6" w:rsidRPr="003E53D2" w:rsidRDefault="003C02F6" w:rsidP="0003377F">
      <w:pPr>
        <w:spacing w:after="0" w:line="240" w:lineRule="auto"/>
        <w:ind w:left="720"/>
        <w:rPr>
          <w:i/>
        </w:rPr>
      </w:pPr>
      <w:r w:rsidRPr="003E53D2">
        <w:rPr>
          <w:i/>
        </w:rPr>
        <w:t>5.  What changes would you suggest be made to provisions in S. 515 related to post grant review?</w:t>
      </w:r>
    </w:p>
    <w:p w:rsidR="003C02F6" w:rsidRDefault="003C02F6" w:rsidP="0003377F">
      <w:pPr>
        <w:spacing w:after="0" w:line="240" w:lineRule="auto"/>
        <w:ind w:left="720"/>
      </w:pPr>
    </w:p>
    <w:p w:rsidR="00907403" w:rsidRPr="00C35EF8" w:rsidRDefault="003E53D2" w:rsidP="00907403">
      <w:pPr>
        <w:spacing w:after="0" w:line="240" w:lineRule="auto"/>
        <w:ind w:left="720" w:hanging="720"/>
      </w:pPr>
      <w:r>
        <w:tab/>
      </w:r>
      <w:r w:rsidR="00907403">
        <w:tab/>
      </w:r>
      <w:r w:rsidR="00907403" w:rsidRPr="00C35EF8">
        <w:t xml:space="preserve">As I indicated in my written testimony, I think post-grant opposition will be effective only if it includes a “second window” for addressing newly-relevant patents.  </w:t>
      </w:r>
    </w:p>
    <w:p w:rsidR="003E53D2" w:rsidRDefault="003E53D2" w:rsidP="0003377F">
      <w:pPr>
        <w:spacing w:after="0" w:line="240" w:lineRule="auto"/>
        <w:ind w:left="720"/>
      </w:pPr>
    </w:p>
    <w:p w:rsidR="003E53D2" w:rsidRPr="003C02F6" w:rsidRDefault="003E53D2" w:rsidP="0003377F">
      <w:pPr>
        <w:spacing w:after="0" w:line="240" w:lineRule="auto"/>
        <w:ind w:left="720"/>
      </w:pPr>
    </w:p>
    <w:p w:rsidR="003C02F6" w:rsidRPr="003D2B8F" w:rsidRDefault="003C02F6" w:rsidP="0003377F">
      <w:pPr>
        <w:spacing w:after="0" w:line="240" w:lineRule="auto"/>
        <w:ind w:left="720"/>
        <w:rPr>
          <w:i/>
        </w:rPr>
      </w:pPr>
      <w:r w:rsidRPr="003D2B8F">
        <w:rPr>
          <w:i/>
        </w:rPr>
        <w:t xml:space="preserve">6.  Do you think PTO has the capability to administratively manage the provisions in S. 515 related to post grant review?  </w:t>
      </w:r>
    </w:p>
    <w:p w:rsidR="003C02F6" w:rsidRDefault="003C02F6" w:rsidP="0003377F">
      <w:pPr>
        <w:spacing w:after="0" w:line="240" w:lineRule="auto"/>
        <w:ind w:left="720"/>
      </w:pPr>
    </w:p>
    <w:p w:rsidR="003D2B8F" w:rsidRDefault="003D2B8F" w:rsidP="0003377F">
      <w:pPr>
        <w:spacing w:after="0" w:line="240" w:lineRule="auto"/>
        <w:ind w:left="720"/>
      </w:pPr>
      <w:r>
        <w:tab/>
      </w:r>
      <w:r w:rsidRPr="00C35EF8">
        <w:t>I believe the PTO can handle the burden of post-grant opposition, assuming that it is adequately funded.  The PTO has an experienced cadre of trial judges at the Board of Patent Appeals and Interferences who will no longer be required to hear interference disputes once first-inventor-to-file is in force.  It makes sense to use those judges to hear post-grant opposition cases.  If those judges, rather than existing examiners, hear post-grant opposition cases, the process will not take examiner time, and so should not exacerbate the problem of bad patents.</w:t>
      </w:r>
    </w:p>
    <w:p w:rsidR="003D2B8F" w:rsidRDefault="003D2B8F" w:rsidP="0003377F">
      <w:pPr>
        <w:spacing w:after="0" w:line="240" w:lineRule="auto"/>
        <w:ind w:left="720"/>
      </w:pPr>
    </w:p>
    <w:p w:rsidR="003D2B8F" w:rsidRPr="003C02F6" w:rsidRDefault="003D2B8F" w:rsidP="0003377F">
      <w:pPr>
        <w:spacing w:after="0" w:line="240" w:lineRule="auto"/>
        <w:ind w:left="720"/>
      </w:pPr>
    </w:p>
    <w:p w:rsidR="003C02F6" w:rsidRPr="004852B9" w:rsidRDefault="003C02F6" w:rsidP="0003377F">
      <w:pPr>
        <w:spacing w:after="0" w:line="240" w:lineRule="auto"/>
        <w:ind w:left="720"/>
        <w:rPr>
          <w:i/>
        </w:rPr>
      </w:pPr>
      <w:r w:rsidRPr="004852B9">
        <w:rPr>
          <w:i/>
        </w:rPr>
        <w:t xml:space="preserve">7.  What issues should the Senate address in S. 515 related to enhancing patent quality that is not addressed in S. 515?  </w:t>
      </w:r>
    </w:p>
    <w:p w:rsidR="003C02F6" w:rsidRDefault="003C02F6" w:rsidP="0003377F">
      <w:pPr>
        <w:spacing w:after="0" w:line="240" w:lineRule="auto"/>
        <w:ind w:left="720"/>
      </w:pPr>
    </w:p>
    <w:p w:rsidR="009B393A" w:rsidRPr="00C35EF8" w:rsidRDefault="004852B9" w:rsidP="009B393A">
      <w:pPr>
        <w:spacing w:after="0" w:line="240" w:lineRule="auto"/>
        <w:ind w:left="720" w:hanging="360"/>
      </w:pPr>
      <w:r>
        <w:tab/>
      </w:r>
      <w:r w:rsidR="009B393A">
        <w:tab/>
      </w:r>
      <w:r w:rsidR="009B393A" w:rsidRPr="00C35EF8">
        <w:t xml:space="preserve">Two additional changes would be appropriate.  First, the provision of S. 515 limiting patent searches to U.S. citizens is inconsistent with the thrust of the rest of the bill, and should be discarded.  Second, Congress should explore the possibility of creating a two-tiered patent system, allowing patent applicants with important inventions to invest in additional scrutiny by the PTO and receive a stronger patent in return.  I detail this latter possibility in more detail in a </w:t>
      </w:r>
      <w:r w:rsidR="009B393A" w:rsidRPr="00C35EF8">
        <w:lastRenderedPageBreak/>
        <w:t xml:space="preserve">recent article.  </w:t>
      </w:r>
      <w:proofErr w:type="gramStart"/>
      <w:r w:rsidR="009B393A" w:rsidRPr="00C35EF8">
        <w:t xml:space="preserve">Doug </w:t>
      </w:r>
      <w:proofErr w:type="spellStart"/>
      <w:r w:rsidR="009B393A" w:rsidRPr="00C35EF8">
        <w:t>Lichtman</w:t>
      </w:r>
      <w:proofErr w:type="spellEnd"/>
      <w:r w:rsidR="009B393A" w:rsidRPr="00C35EF8">
        <w:t xml:space="preserve"> &amp; Mark Lemley, </w:t>
      </w:r>
      <w:r w:rsidR="009B393A" w:rsidRPr="00C35EF8">
        <w:rPr>
          <w:i/>
        </w:rPr>
        <w:t>Rethinking Patent Law’s Presumption of Validity</w:t>
      </w:r>
      <w:r w:rsidR="009B393A" w:rsidRPr="00C35EF8">
        <w:t xml:space="preserve">, 60 </w:t>
      </w:r>
      <w:r w:rsidR="009B393A" w:rsidRPr="00C35EF8">
        <w:rPr>
          <w:b/>
        </w:rPr>
        <w:t>Stan.</w:t>
      </w:r>
      <w:proofErr w:type="gramEnd"/>
      <w:r w:rsidR="009B393A" w:rsidRPr="00C35EF8">
        <w:rPr>
          <w:b/>
        </w:rPr>
        <w:t xml:space="preserve"> L. Rev.</w:t>
      </w:r>
      <w:r w:rsidR="009B393A" w:rsidRPr="00C35EF8">
        <w:t xml:space="preserve"> 45 (2007).</w:t>
      </w:r>
    </w:p>
    <w:p w:rsidR="004852B9" w:rsidRPr="003C02F6" w:rsidRDefault="004852B9" w:rsidP="0003377F">
      <w:pPr>
        <w:spacing w:after="0" w:line="240" w:lineRule="auto"/>
        <w:ind w:left="720"/>
      </w:pPr>
    </w:p>
    <w:p w:rsidR="003C02F6" w:rsidRPr="003C02F6" w:rsidRDefault="003C02F6" w:rsidP="0003377F">
      <w:pPr>
        <w:spacing w:after="0" w:line="240" w:lineRule="auto"/>
        <w:ind w:left="720" w:hanging="360"/>
      </w:pPr>
    </w:p>
    <w:p w:rsidR="00AA37D1" w:rsidRPr="003C02F6" w:rsidRDefault="00AA37D1" w:rsidP="0003377F">
      <w:pPr>
        <w:spacing w:after="0" w:line="240" w:lineRule="auto"/>
        <w:ind w:left="720" w:hanging="360"/>
      </w:pPr>
    </w:p>
    <w:p w:rsidR="00AA37D1" w:rsidRPr="003C02F6" w:rsidRDefault="00AA37D1" w:rsidP="0003377F">
      <w:pPr>
        <w:spacing w:after="0" w:line="240" w:lineRule="auto"/>
        <w:ind w:left="720" w:hanging="360"/>
      </w:pPr>
    </w:p>
    <w:p w:rsidR="005A1B4A" w:rsidRPr="003C02F6" w:rsidRDefault="005A1B4A" w:rsidP="0003377F">
      <w:pPr>
        <w:spacing w:after="0" w:line="240" w:lineRule="auto"/>
        <w:ind w:left="720" w:hanging="360"/>
      </w:pPr>
    </w:p>
    <w:p w:rsidR="00AA37D1" w:rsidRPr="003C02F6" w:rsidRDefault="00AA37D1" w:rsidP="0003377F">
      <w:pPr>
        <w:spacing w:after="0" w:line="240" w:lineRule="auto"/>
        <w:ind w:left="720" w:hanging="360"/>
      </w:pPr>
    </w:p>
    <w:sectPr w:rsidR="00AA37D1" w:rsidRPr="003C02F6" w:rsidSect="008D29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34CDE"/>
    <w:multiLevelType w:val="hybridMultilevel"/>
    <w:tmpl w:val="3FB09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972ADA"/>
    <w:multiLevelType w:val="hybridMultilevel"/>
    <w:tmpl w:val="058C172C"/>
    <w:lvl w:ilvl="0" w:tplc="C1569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5809"/>
    <w:rsid w:val="00022723"/>
    <w:rsid w:val="0003377F"/>
    <w:rsid w:val="00166FE2"/>
    <w:rsid w:val="002450CC"/>
    <w:rsid w:val="00281553"/>
    <w:rsid w:val="0036260B"/>
    <w:rsid w:val="003B1B73"/>
    <w:rsid w:val="003C02F6"/>
    <w:rsid w:val="003D2B8F"/>
    <w:rsid w:val="003E53D2"/>
    <w:rsid w:val="004852B9"/>
    <w:rsid w:val="005A1B4A"/>
    <w:rsid w:val="006964C2"/>
    <w:rsid w:val="006B12B6"/>
    <w:rsid w:val="006E3DE6"/>
    <w:rsid w:val="007F5809"/>
    <w:rsid w:val="00887906"/>
    <w:rsid w:val="008D2902"/>
    <w:rsid w:val="00907403"/>
    <w:rsid w:val="009460CE"/>
    <w:rsid w:val="009A01EC"/>
    <w:rsid w:val="009B393A"/>
    <w:rsid w:val="00A256FE"/>
    <w:rsid w:val="00AA37D1"/>
    <w:rsid w:val="00AC222C"/>
    <w:rsid w:val="00C1278B"/>
    <w:rsid w:val="00C212F3"/>
    <w:rsid w:val="00C35EF8"/>
    <w:rsid w:val="00C46C60"/>
    <w:rsid w:val="00CA2755"/>
    <w:rsid w:val="00CD01DC"/>
    <w:rsid w:val="00E44AEA"/>
    <w:rsid w:val="00EC71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80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Lemley</dc:creator>
  <cp:keywords/>
  <dc:description/>
  <cp:lastModifiedBy>SarahG</cp:lastModifiedBy>
  <cp:revision>2</cp:revision>
  <dcterms:created xsi:type="dcterms:W3CDTF">2009-03-31T18:36:00Z</dcterms:created>
  <dcterms:modified xsi:type="dcterms:W3CDTF">2009-03-31T18:36:00Z</dcterms:modified>
</cp:coreProperties>
</file>